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穗环法罚〔2018〕5号</w:t>
      </w:r>
    </w:p>
    <w:bookmarkEnd w:id="0"/>
    <w:p>
      <w:pPr>
        <w:keepNext w:val="0"/>
        <w:keepLines w:val="0"/>
        <w:widowControl/>
        <w:suppressLineNumbers w:val="0"/>
        <w:shd w:val="clear" w:fill="FFFFFF"/>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1939"/>
        <w:gridCol w:w="2466"/>
        <w:gridCol w:w="1119"/>
        <w:gridCol w:w="931"/>
        <w:gridCol w:w="867"/>
        <w:gridCol w:w="1213"/>
      </w:tblGrid>
      <w:tr>
        <w:tblPrEx>
          <w:shd w:val="clear"/>
          <w:tblLayout w:type="fixed"/>
          <w:tblCellMar>
            <w:top w:w="0" w:type="dxa"/>
            <w:left w:w="0" w:type="dxa"/>
            <w:bottom w:w="0" w:type="dxa"/>
            <w:right w:w="0" w:type="dxa"/>
          </w:tblCellMar>
        </w:tblPrEx>
        <w:trPr>
          <w:trHeight w:val="285" w:hRule="atLeast"/>
          <w:jc w:val="center"/>
        </w:trPr>
        <w:tc>
          <w:tcPr>
            <w:tcW w:w="193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96"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穗环法罚〔2018〕5号</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96"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番禺精美五金塑料制品有限公司行政处罚案</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96"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96"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经我局执法监察支队2017年8月9日、11日调查发现，该公司在正常生产的情况下，将含镍废水分为两股排放，其中一股镀镍清洗废水经镍树脂吸附后通过含镍废水总镍监测点排至混合废水收集池，另一股镀镍缸带出回收水和镍树脂吸附后的再生浓水通过电解回收后，没经过镍树脂吸附并绕过总镍监测点直接排至混合废水收集池。</w:t>
            </w:r>
          </w:p>
        </w:tc>
      </w:tr>
      <w:tr>
        <w:tblPrEx>
          <w:tblLayout w:type="fixed"/>
          <w:tblCellMar>
            <w:top w:w="0" w:type="dxa"/>
            <w:left w:w="0" w:type="dxa"/>
            <w:bottom w:w="0" w:type="dxa"/>
            <w:right w:w="0" w:type="dxa"/>
          </w:tblCellMar>
        </w:tblPrEx>
        <w:trPr>
          <w:trHeight w:val="347"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96"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依据《广东省环境保护条例》第六十九条第二款</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96"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罚款10万元</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96"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番禺精美五金塑料制品有限公司</w:t>
            </w:r>
          </w:p>
        </w:tc>
      </w:tr>
      <w:tr>
        <w:tblPrEx>
          <w:tblLayout w:type="fixed"/>
          <w:tblCellMar>
            <w:top w:w="0" w:type="dxa"/>
            <w:left w:w="0" w:type="dxa"/>
            <w:bottom w:w="0" w:type="dxa"/>
            <w:right w:w="0" w:type="dxa"/>
          </w:tblCellMar>
        </w:tblPrEx>
        <w:trPr>
          <w:trHeight w:val="547" w:hRule="atLeast"/>
          <w:jc w:val="center"/>
        </w:trPr>
        <w:tc>
          <w:tcPr>
            <w:tcW w:w="1939"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46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19"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31"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6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1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193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466" w:type="dxa"/>
            <w:tcBorders>
              <w:top w:val="nil"/>
              <w:left w:val="nil"/>
              <w:bottom w:val="single" w:color="auto" w:sz="8" w:space="0"/>
              <w:right w:val="single" w:color="auto" w:sz="8" w:space="0"/>
            </w:tcBorders>
            <w:shd w:val="clear"/>
            <w:tcMar>
              <w:left w:w="108" w:type="dxa"/>
              <w:right w:w="108" w:type="dxa"/>
            </w:tcMar>
            <w:vAlign w:val="bottom"/>
          </w:tcPr>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sz w:val="21"/>
                <w:szCs w:val="21"/>
              </w:rPr>
              <w:t> 914401156187043330</w:t>
            </w:r>
          </w:p>
        </w:tc>
        <w:tc>
          <w:tcPr>
            <w:tcW w:w="1119"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931"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6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1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96"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陈伟聪</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96"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2018/1/16</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96"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18"/>
                <w:szCs w:val="18"/>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96"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96"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96"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2018/1/16</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96"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kern w:val="0"/>
          <w:sz w:val="32"/>
          <w:szCs w:val="32"/>
          <w:shd w:val="clear" w:fill="FFFFFF"/>
          <w:lang w:val="en-US" w:eastAsia="zh-CN" w:bidi="ar"/>
        </w:rPr>
        <w:t>全文信息</w:t>
      </w:r>
    </w:p>
    <w:p>
      <w:pPr>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i w:val="0"/>
          <w:caps w:val="0"/>
          <w:color w:val="000000"/>
          <w:spacing w:val="0"/>
          <w:sz w:val="44"/>
          <w:szCs w:val="44"/>
          <w:shd w:val="clear" w:fill="FFFFFF"/>
        </w:rPr>
        <w:t>行政处罚决定书</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i w:val="0"/>
          <w:caps w:val="0"/>
          <w:color w:val="000000"/>
          <w:spacing w:val="0"/>
          <w:sz w:val="32"/>
          <w:szCs w:val="32"/>
          <w:shd w:val="clear" w:fill="FFFFFF"/>
        </w:rPr>
        <w:t>穗环法罚〔2018〕5号</w:t>
      </w:r>
    </w:p>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pacing w:before="45" w:beforeAutospacing="0" w:after="45" w:afterAutospacing="0" w:line="27" w:lineRule="atLeast"/>
        <w:ind w:left="75" w:right="75"/>
        <w:jc w:val="left"/>
        <w:rPr>
          <w:sz w:val="21"/>
          <w:szCs w:val="21"/>
        </w:rPr>
      </w:pPr>
      <w:r>
        <w:rPr>
          <w:rFonts w:ascii="仿宋_GB2312" w:hAnsi="宋体" w:eastAsia="仿宋_GB2312" w:cs="仿宋_GB2312"/>
          <w:i w:val="0"/>
          <w:caps w:val="0"/>
          <w:color w:val="000000"/>
          <w:spacing w:val="0"/>
          <w:sz w:val="32"/>
          <w:szCs w:val="32"/>
          <w:shd w:val="clear" w:fill="FFFFFF"/>
        </w:rPr>
        <w:t>当事人：番禺精美五金塑料制品有限公司</w:t>
      </w:r>
    </w:p>
    <w:p>
      <w:pPr>
        <w:keepNext w:val="0"/>
        <w:keepLines w:val="0"/>
        <w:widowControl/>
        <w:suppressLineNumbers w:val="0"/>
        <w:spacing w:before="45" w:beforeAutospacing="0" w:after="45" w:afterAutospacing="0" w:line="500" w:lineRule="atLeast"/>
        <w:ind w:left="75" w:right="75"/>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统一社会信用代码：</w:t>
      </w:r>
      <w:r>
        <w:rPr>
          <w:rFonts w:hint="eastAsia" w:ascii="宋体" w:hAnsi="宋体" w:eastAsia="宋体" w:cs="宋体"/>
          <w:i w:val="0"/>
          <w:caps w:val="0"/>
          <w:color w:val="000000"/>
          <w:spacing w:val="0"/>
          <w:kern w:val="0"/>
          <w:sz w:val="32"/>
          <w:szCs w:val="32"/>
          <w:shd w:val="clear" w:fill="FFFFFF"/>
          <w:lang w:val="en-US" w:eastAsia="zh-CN" w:bidi="ar"/>
        </w:rPr>
        <w:t>914401156187043330</w:t>
      </w:r>
    </w:p>
    <w:p>
      <w:pPr>
        <w:keepNext w:val="0"/>
        <w:keepLines w:val="0"/>
        <w:widowControl/>
        <w:suppressLineNumbers w:val="0"/>
        <w:spacing w:before="45" w:beforeAutospacing="0" w:after="45" w:afterAutospacing="0" w:line="500" w:lineRule="atLeast"/>
        <w:ind w:left="75" w:right="75"/>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址：广州市南沙区横沥镇番中公路横沥路段</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号</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经我局执法监察支队</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11</w:t>
      </w:r>
      <w:r>
        <w:rPr>
          <w:rFonts w:hint="eastAsia" w:ascii="仿宋_GB2312" w:hAnsi="宋体" w:eastAsia="仿宋_GB2312" w:cs="仿宋_GB2312"/>
          <w:i w:val="0"/>
          <w:caps w:val="0"/>
          <w:color w:val="000000"/>
          <w:spacing w:val="0"/>
          <w:kern w:val="0"/>
          <w:sz w:val="32"/>
          <w:szCs w:val="32"/>
          <w:shd w:val="clear" w:fill="FFFFFF"/>
          <w:lang w:val="en-US" w:eastAsia="zh-CN" w:bidi="ar"/>
        </w:rPr>
        <w:t>日调查发现，当事人在正常生产的情况下，将含镍废水分为两股排放，其中一股镀镍清洗废水经镍树脂吸附后通过含镍废水总镍监测点排至混合废水收集池，另一股镀镍缸带出回收水和镍树脂吸附后的再生浓水通过电解回收后，没经过镍树脂吸附并绕过总镍监测点直接排至混合废水收集池。</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以上事实，有《询问笔录》等证据为证。</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当事人上述行为违反了《广东省环境保护条例》第二十五条第二款的规定。</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7</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日，我局作出《行政处罚听证告知书》（穗环法告〔</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84</w:t>
      </w:r>
      <w:r>
        <w:rPr>
          <w:rFonts w:hint="eastAsia" w:ascii="仿宋_GB2312" w:hAnsi="宋体" w:eastAsia="仿宋_GB2312" w:cs="仿宋_GB2312"/>
          <w:i w:val="0"/>
          <w:caps w:val="0"/>
          <w:color w:val="000000"/>
          <w:spacing w:val="0"/>
          <w:kern w:val="0"/>
          <w:sz w:val="32"/>
          <w:szCs w:val="32"/>
          <w:shd w:val="clear" w:fill="FFFFFF"/>
          <w:lang w:val="en-US" w:eastAsia="zh-CN" w:bidi="ar"/>
        </w:rPr>
        <w:t>号），并于</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日送达当事人。当事人提出陈述申辩意见：</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该公司得知存在问题后，启动内部整改，并于</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25</w:t>
      </w:r>
      <w:r>
        <w:rPr>
          <w:rFonts w:hint="eastAsia" w:ascii="仿宋_GB2312" w:hAnsi="宋体" w:eastAsia="仿宋_GB2312" w:cs="仿宋_GB2312"/>
          <w:i w:val="0"/>
          <w:caps w:val="0"/>
          <w:color w:val="000000"/>
          <w:spacing w:val="0"/>
          <w:kern w:val="0"/>
          <w:sz w:val="32"/>
          <w:szCs w:val="32"/>
          <w:shd w:val="clear" w:fill="FFFFFF"/>
          <w:lang w:val="en-US" w:eastAsia="zh-CN" w:bidi="ar"/>
        </w:rPr>
        <w:t>日完成整改工作：镀镍回收水和树脂吸附后的再生浓水经电解后收集至含镍废水收集槽，再通过树脂吸附后经总镍监测点排至混合废水收集池；</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废水经在线监控达标排放；</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于</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月主动开展建设项目环境影响自查评估工作，委托专业机构编制自查评估报告并于</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13</w:t>
      </w:r>
      <w:r>
        <w:rPr>
          <w:rFonts w:hint="eastAsia" w:ascii="仿宋_GB2312" w:hAnsi="宋体" w:eastAsia="仿宋_GB2312" w:cs="仿宋_GB2312"/>
          <w:i w:val="0"/>
          <w:caps w:val="0"/>
          <w:color w:val="000000"/>
          <w:spacing w:val="0"/>
          <w:kern w:val="0"/>
          <w:sz w:val="32"/>
          <w:szCs w:val="32"/>
          <w:shd w:val="clear" w:fill="FFFFFF"/>
          <w:lang w:val="en-US" w:eastAsia="zh-CN" w:bidi="ar"/>
        </w:rPr>
        <w:t>日通过专家评审；</w:t>
      </w:r>
      <w:r>
        <w:rPr>
          <w:rFonts w:hint="eastAsia" w:ascii="宋体" w:hAnsi="宋体" w:eastAsia="宋体" w:cs="宋体"/>
          <w:i w:val="0"/>
          <w:caps w:val="0"/>
          <w:color w:val="000000"/>
          <w:spacing w:val="0"/>
          <w:kern w:val="0"/>
          <w:sz w:val="32"/>
          <w:szCs w:val="32"/>
          <w:shd w:val="clear" w:fill="FFFFFF"/>
          <w:lang w:val="en-US" w:eastAsia="zh-CN" w:bidi="ar"/>
        </w:rPr>
        <w:t>4.</w:t>
      </w:r>
      <w:r>
        <w:rPr>
          <w:rFonts w:hint="eastAsia" w:ascii="仿宋_GB2312" w:hAnsi="宋体" w:eastAsia="仿宋_GB2312" w:cs="仿宋_GB2312"/>
          <w:i w:val="0"/>
          <w:caps w:val="0"/>
          <w:color w:val="000000"/>
          <w:spacing w:val="0"/>
          <w:kern w:val="0"/>
          <w:sz w:val="32"/>
          <w:szCs w:val="32"/>
          <w:shd w:val="clear" w:fill="FFFFFF"/>
          <w:lang w:val="en-US" w:eastAsia="zh-CN" w:bidi="ar"/>
        </w:rPr>
        <w:t>此次事件系初犯，无主观故意。经审理，我局部分采纳当事人申辩意见。现本案经我局审查结束。</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我局依据《广东省环境保护条例》第六十九条第二款的规定，作出处罚如下：</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万元。</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日内，向广州市人民政府或广东省环境保护厅提出行政复议申请，或在六个月内直接向有管辖权的人民法院提起行政诉讼。行政复议、行政诉讼期间内，不得停止本决定的履行。</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逾期不履行本处罚决定，我局将申请人民法院强制执行，并按罚款额每日加处百分之三罚款。</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keepNext w:val="0"/>
        <w:keepLines w:val="0"/>
        <w:widowControl/>
        <w:suppressLineNumbers w:val="0"/>
        <w:spacing w:before="45" w:beforeAutospacing="0" w:after="45" w:afterAutospacing="0" w:line="600" w:lineRule="atLeast"/>
        <w:ind w:left="75" w:right="968"/>
        <w:jc w:val="righ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pacing w:before="45" w:beforeAutospacing="0" w:after="45" w:afterAutospacing="0" w:line="600" w:lineRule="atLeast"/>
        <w:ind w:left="75" w:right="968"/>
        <w:jc w:val="righ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16</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keepNext w:val="0"/>
        <w:keepLines w:val="0"/>
        <w:widowControl/>
        <w:suppressLineNumbers w:val="0"/>
        <w:spacing w:before="45" w:beforeAutospacing="0" w:after="45" w:afterAutospacing="0" w:line="600" w:lineRule="atLeast"/>
        <w:ind w:left="75" w:right="968"/>
        <w:jc w:val="righ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pStyle w:val="2"/>
        <w:keepNext w:val="0"/>
        <w:keepLines w:val="0"/>
        <w:widowControl/>
        <w:suppressLineNumbers w:val="0"/>
        <w:spacing w:before="45" w:beforeAutospacing="0" w:after="0" w:afterAutospacing="0" w:line="500" w:lineRule="atLeast"/>
        <w:ind w:left="75" w:right="75"/>
        <w:jc w:val="left"/>
        <w:rPr>
          <w:sz w:val="21"/>
          <w:szCs w:val="21"/>
        </w:rPr>
      </w:pPr>
      <w:r>
        <w:rPr>
          <w:rFonts w:hint="eastAsia" w:ascii="仿宋_GB2312" w:hAnsi="宋体" w:eastAsia="仿宋_GB2312" w:cs="仿宋_GB2312"/>
          <w:i w:val="0"/>
          <w:caps w:val="0"/>
          <w:color w:val="000000"/>
          <w:spacing w:val="0"/>
          <w:sz w:val="32"/>
          <w:szCs w:val="32"/>
          <w:shd w:val="clear" w:fill="FFFFFF"/>
        </w:rPr>
        <w:t>  抄送：局污防处、执法监察支队，南沙区环保水务局。</w:t>
      </w:r>
      <w:r>
        <w:rPr>
          <w:rFonts w:hint="eastAsia" w:ascii="宋体" w:hAnsi="宋体" w:eastAsia="宋体" w:cs="宋体"/>
          <w:i w:val="0"/>
          <w:caps w:val="0"/>
          <w:color w:val="000000"/>
          <w:spacing w:val="0"/>
          <w:sz w:val="21"/>
          <w:szCs w:val="21"/>
          <w:shd w:val="clear" w:fill="FFFFFF"/>
        </w:rPr>
        <w:t> </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A467F"/>
    <w:rsid w:val="268D0943"/>
    <w:rsid w:val="2B0A467F"/>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2019-01-28T02:49:00Z</dcterms:created>
  <dc:creator>黄文宇</dc:creator>
  <cp:lastModifiedBy>黄文宇</cp:lastModifiedBy>
  <dcterms:modified xsi:type="dcterms:W3CDTF">2019-01-28T02:50:26Z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