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穗环法罚〔2018〕15号</w:t>
      </w:r>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1954"/>
        <w:gridCol w:w="2256"/>
        <w:gridCol w:w="1126"/>
        <w:gridCol w:w="935"/>
        <w:gridCol w:w="870"/>
        <w:gridCol w:w="1394"/>
      </w:tblGrid>
      <w:tr>
        <w:tblPrEx>
          <w:shd w:val="clear"/>
          <w:tblLayout w:type="fixed"/>
          <w:tblCellMar>
            <w:top w:w="0" w:type="dxa"/>
            <w:left w:w="0" w:type="dxa"/>
            <w:bottom w:w="0" w:type="dxa"/>
            <w:right w:w="0" w:type="dxa"/>
          </w:tblCellMar>
        </w:tblPrEx>
        <w:trPr>
          <w:trHeight w:val="285" w:hRule="atLeast"/>
          <w:jc w:val="center"/>
        </w:trPr>
        <w:tc>
          <w:tcPr>
            <w:tcW w:w="19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81"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穗环法罚〔2018〕15号</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广州海鸥卫浴用品股份有限公司行政处罚案</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广东省大气和水专项督查组2017年8月11日现场执法检查及我局执法监察支队2017年8月16日、18日调查核实，2017年8月11日，当事人在正常生产情况下，位于锌合金车间楼顶的15#废气处理设施喷淋泵停用，导致酸雾废气未经碱液喷淋由风机引至排气筒排放。</w:t>
            </w:r>
          </w:p>
        </w:tc>
      </w:tr>
      <w:tr>
        <w:tblPrEx>
          <w:shd w:val="clear"/>
          <w:tblLayout w:type="fixed"/>
          <w:tblCellMar>
            <w:top w:w="0" w:type="dxa"/>
            <w:left w:w="0" w:type="dxa"/>
            <w:bottom w:w="0" w:type="dxa"/>
            <w:right w:w="0" w:type="dxa"/>
          </w:tblCellMar>
        </w:tblPrEx>
        <w:trPr>
          <w:trHeight w:val="347"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81"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中华人民共和国大气污染防治法》第九十九条第三项及《广州市环境保护局关于&lt;中华人民共和国大气污染防治法&gt;的环境行政处罚自由裁量权裁量标准（试行）》第4-1项</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责令当事人立即改正违法行为，并处罚款10万元。</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广州海鸥卫浴用品股份有限公司</w:t>
            </w:r>
          </w:p>
        </w:tc>
      </w:tr>
      <w:tr>
        <w:tblPrEx>
          <w:tblLayout w:type="fixed"/>
          <w:tblCellMar>
            <w:top w:w="0" w:type="dxa"/>
            <w:left w:w="0" w:type="dxa"/>
            <w:bottom w:w="0" w:type="dxa"/>
            <w:right w:w="0" w:type="dxa"/>
          </w:tblCellMar>
        </w:tblPrEx>
        <w:trPr>
          <w:trHeight w:val="547" w:hRule="atLeast"/>
          <w:jc w:val="center"/>
        </w:trPr>
        <w:tc>
          <w:tcPr>
            <w:tcW w:w="195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shd w:val="clear"/>
          <w:tblLayout w:type="fixed"/>
          <w:tblCellMar>
            <w:top w:w="0" w:type="dxa"/>
            <w:left w:w="0" w:type="dxa"/>
            <w:bottom w:w="0" w:type="dxa"/>
            <w:right w:w="0" w:type="dxa"/>
          </w:tblCellMar>
        </w:tblPrEx>
        <w:trPr>
          <w:trHeight w:val="371" w:hRule="atLeast"/>
          <w:jc w:val="center"/>
        </w:trPr>
        <w:tc>
          <w:tcPr>
            <w:tcW w:w="195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914401017082149959</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唐台英</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2018/4/25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2018/4/25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pStyle w:val="2"/>
        <w:keepNext w:val="0"/>
        <w:keepLines w:val="0"/>
        <w:widowControl/>
        <w:suppressLineNumbers w:val="0"/>
        <w:shd w:val="clear" w:fill="FFFFFF"/>
        <w:spacing w:before="45" w:beforeAutospacing="0" w:after="45" w:afterAutospacing="0" w:line="27" w:lineRule="atLeast"/>
        <w:ind w:left="75" w:right="75"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kern w:val="0"/>
          <w:sz w:val="21"/>
          <w:szCs w:val="21"/>
          <w:shd w:val="clear" w:fill="FFFFFF"/>
          <w:lang w:val="en-US" w:eastAsia="zh-CN" w:bidi="ar"/>
        </w:rPr>
      </w:pP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kern w:val="0"/>
          <w:sz w:val="21"/>
          <w:szCs w:val="21"/>
          <w:shd w:val="clear" w:fill="FFFFFF"/>
          <w:lang w:val="en-US" w:eastAsia="zh-CN" w:bidi="ar"/>
        </w:rPr>
      </w:pP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bookmarkStart w:id="0" w:name="_GoBack"/>
      <w:bookmarkEnd w:id="0"/>
      <w:r>
        <w:rPr>
          <w:rFonts w:hint="eastAsia" w:ascii="宋体" w:hAnsi="宋体" w:eastAsia="宋体" w:cs="宋体"/>
          <w:i w:val="0"/>
          <w:caps w:val="0"/>
          <w:color w:val="000000"/>
          <w:spacing w:val="0"/>
          <w:kern w:val="0"/>
          <w:sz w:val="21"/>
          <w:szCs w:val="21"/>
          <w:shd w:val="clear" w:fill="FFFFFF"/>
          <w:lang w:val="en-US" w:eastAsia="zh-CN" w:bidi="ar"/>
        </w:rPr>
        <w:t> </w:t>
      </w:r>
      <w:r>
        <w:rPr>
          <w:rStyle w:val="4"/>
          <w:rFonts w:ascii="仿宋_GB2312" w:hAnsi="宋体" w:eastAsia="仿宋_GB2312" w:cs="仿宋_GB2312"/>
          <w:i w:val="0"/>
          <w:caps w:val="0"/>
          <w:color w:val="000000"/>
          <w:spacing w:val="0"/>
          <w:kern w:val="0"/>
          <w:sz w:val="32"/>
          <w:szCs w:val="32"/>
          <w:shd w:val="clear" w:fill="FFFFFF"/>
          <w:lang w:val="en-US" w:eastAsia="zh-CN" w:bidi="ar"/>
        </w:rPr>
        <w:t>全文信息</w:t>
      </w:r>
      <w:r>
        <w:rPr>
          <w:rFonts w:hint="eastAsia" w:ascii="仿宋_GB2312" w:hAnsi="宋体" w:eastAsia="仿宋_GB2312" w:cs="仿宋_GB2312"/>
          <w:i w:val="0"/>
          <w:caps w:val="0"/>
          <w:color w:val="000000"/>
          <w:spacing w:val="0"/>
          <w:kern w:val="0"/>
          <w:sz w:val="32"/>
          <w:szCs w:val="32"/>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穗环法罚〔2018〕15号</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当事人：广州海鸥住宅工业股份有限公司</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914401017082149959</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址：广州市番禺区沙头街禺山西路</w:t>
      </w:r>
      <w:r>
        <w:rPr>
          <w:rFonts w:hint="eastAsia" w:ascii="宋体" w:hAnsi="宋体" w:eastAsia="宋体" w:cs="宋体"/>
          <w:i w:val="0"/>
          <w:caps w:val="0"/>
          <w:color w:val="000000"/>
          <w:spacing w:val="0"/>
          <w:kern w:val="0"/>
          <w:sz w:val="32"/>
          <w:szCs w:val="32"/>
          <w:shd w:val="clear" w:fill="FFFFFF"/>
          <w:lang w:val="en-US" w:eastAsia="zh-CN" w:bidi="ar"/>
        </w:rPr>
        <w:t>363</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经广东省大气和水专项督查组</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日现场执法检查及我局执法监察支队</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18</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日调查核实，</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日，当事人在正常生产情况下，位于锌合金车间楼顶的</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废气处理设施喷淋泵停用，导致酸雾废气未经碱液喷淋由风机引至排气筒排放。</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以上事实，有《询问笔录》等证据为证。</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当事人上述行为违反了《中华人民共和国大气污染防治法》第二十条第二款的规定。</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94</w:t>
      </w:r>
      <w:r>
        <w:rPr>
          <w:rFonts w:hint="eastAsia" w:ascii="仿宋_GB2312" w:hAnsi="宋体" w:eastAsia="仿宋_GB2312" w:cs="仿宋_GB2312"/>
          <w:i w:val="0"/>
          <w:caps w:val="0"/>
          <w:color w:val="000000"/>
          <w:spacing w:val="0"/>
          <w:kern w:val="0"/>
          <w:sz w:val="32"/>
          <w:szCs w:val="32"/>
          <w:shd w:val="clear" w:fill="FFFFFF"/>
          <w:lang w:val="en-US" w:eastAsia="zh-CN" w:bidi="ar"/>
        </w:rPr>
        <w:t>号），并于同年</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23</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日送达，当事人于</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29</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日提交书面申请听证，我局于</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日召开听证会，会上当事人申辩意见如下：我司委托广州千成聚空调设备有限公司对锌合金车间安装水冷柜式空调，因该车间楼顶仅一个电柜可连接电源，当天外包工程施工商在施工时断开</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废气处理设施喷淋装置电源接电，后未接回，导致该喷淋塔停用；公司建立《废气控制程序》安排人员进行巡检并记录，频率为</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天一次，根据《酸雾塔检查记录表》显示，</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日检查发现锌合金车间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个酸雾塔均正常运行，喷淋液</w:t>
      </w:r>
      <w:r>
        <w:rPr>
          <w:rFonts w:hint="eastAsia" w:ascii="宋体" w:hAnsi="宋体" w:eastAsia="宋体" w:cs="宋体"/>
          <w:i w:val="0"/>
          <w:caps w:val="0"/>
          <w:color w:val="000000"/>
          <w:spacing w:val="0"/>
          <w:kern w:val="0"/>
          <w:sz w:val="32"/>
          <w:szCs w:val="32"/>
          <w:shd w:val="clear" w:fill="FFFFFF"/>
          <w:lang w:val="en-US" w:eastAsia="zh-CN" w:bidi="ar"/>
        </w:rPr>
        <w:t>pH</w:t>
      </w:r>
      <w:r>
        <w:rPr>
          <w:rFonts w:hint="eastAsia" w:ascii="仿宋_GB2312" w:hAnsi="宋体" w:eastAsia="仿宋_GB2312" w:cs="仿宋_GB2312"/>
          <w:i w:val="0"/>
          <w:caps w:val="0"/>
          <w:color w:val="000000"/>
          <w:spacing w:val="0"/>
          <w:kern w:val="0"/>
          <w:sz w:val="32"/>
          <w:szCs w:val="32"/>
          <w:shd w:val="clear" w:fill="FFFFFF"/>
          <w:lang w:val="en-US" w:eastAsia="zh-CN" w:bidi="ar"/>
        </w:rPr>
        <w:t>值为</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，满足废气处理要求，而</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日是巡检空档期，未能及时发现断开喷淋装置的电源，当时已立即恢复电源，同时增加外接电源供外来施工及临时用电使用，巡检也改为每天一次，避免同类事件再次发生。经审理，我局部分采纳当事人的申辩意见，现本案经我局审查结束。</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我局依据《中华人民共和国大气污染防治法》第九十九条第三项及《广州市环境保护局关于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中华人民共和国大气污染防治法</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的环境行政处罚自由裁量权裁量标准（试行）》第</w:t>
      </w:r>
      <w:r>
        <w:rPr>
          <w:rFonts w:hint="eastAsia" w:ascii="宋体" w:hAnsi="宋体" w:eastAsia="宋体" w:cs="宋体"/>
          <w:i w:val="0"/>
          <w:caps w:val="0"/>
          <w:color w:val="000000"/>
          <w:spacing w:val="0"/>
          <w:kern w:val="0"/>
          <w:sz w:val="32"/>
          <w:szCs w:val="32"/>
          <w:shd w:val="clear" w:fill="FFFFFF"/>
          <w:lang w:val="en-US" w:eastAsia="zh-CN" w:bidi="ar"/>
        </w:rPr>
        <w:t>4-1</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项的规定，责令当事人立即改正违法行为，并作出处罚如下：</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shd w:val="clear" w:fill="FFFFFF"/>
          <w:lang w:val="en-US" w:eastAsia="zh-CN" w:bidi="ar"/>
        </w:rPr>
        <w:t>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逾期不履行本处罚决定，我局将申请人民法院强制执行，并每日按罚款额加处百分之三罚款。</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抄送：局机控处、执法监察支队，番禺区环保局。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245D3"/>
    <w:rsid w:val="268D0943"/>
    <w:rsid w:val="566245D3"/>
    <w:rsid w:val="5B744FC8"/>
    <w:rsid w:val="6054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2019-01-28T02:57:00Z</dcterms:created>
  <dc:creator>黄文宇</dc:creator>
  <cp:lastModifiedBy>黄文宇</cp:lastModifiedBy>
  <dcterms:modified xsi:type="dcterms:W3CDTF">2019-01-28T02:58:14Z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