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wordWrap w:val="0"/>
        <w:spacing w:before="45" w:beforeAutospacing="0" w:after="45" w:afterAutospacing="0" w:line="27" w:lineRule="atLeast"/>
        <w:ind w:left="150" w:right="150" w:firstLine="0"/>
        <w:jc w:val="center"/>
        <w:rPr>
          <w:rFonts w:hint="eastAsia" w:ascii="方正小标宋简体" w:hAnsi="方正小标宋简体" w:eastAsia="方正小标宋简体" w:cs="方正小标宋简体"/>
          <w:i w:val="0"/>
          <w:caps w:val="0"/>
          <w:color w:val="000000"/>
          <w:spacing w:val="0"/>
          <w:sz w:val="32"/>
          <w:szCs w:val="32"/>
        </w:rPr>
      </w:pPr>
      <w:r>
        <w:rPr>
          <w:rFonts w:hint="eastAsia" w:ascii="方正小标宋简体" w:hAnsi="方正小标宋简体" w:eastAsia="方正小标宋简体" w:cs="方正小标宋简体"/>
          <w:i w:val="0"/>
          <w:caps w:val="0"/>
          <w:color w:val="000000"/>
          <w:spacing w:val="0"/>
          <w:kern w:val="0"/>
          <w:sz w:val="32"/>
          <w:szCs w:val="32"/>
          <w:shd w:val="clear" w:fill="FFFFFF"/>
          <w:lang w:val="en-US" w:eastAsia="zh-CN" w:bidi="ar"/>
        </w:rPr>
        <w:t>穗环法罚〔2018〕1号 </w:t>
      </w:r>
    </w:p>
    <w:p>
      <w:pPr>
        <w:keepNext w:val="0"/>
        <w:keepLines w:val="0"/>
        <w:widowControl/>
        <w:suppressLineNumbers w:val="0"/>
        <w:shd w:val="clear" w:fill="FFFFFF"/>
        <w:wordWrap w:val="0"/>
        <w:spacing w:before="45" w:beforeAutospacing="0" w:after="45" w:afterAutospacing="0" w:line="27" w:lineRule="atLeast"/>
        <w:ind w:left="150" w:right="15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 </w:t>
      </w:r>
    </w:p>
    <w:tbl>
      <w:tblPr>
        <w:tblW w:w="8535" w:type="dxa"/>
        <w:jc w:val="center"/>
        <w:tblInd w:w="713" w:type="dxa"/>
        <w:shd w:val="clear"/>
        <w:tblLayout w:type="fixed"/>
        <w:tblCellMar>
          <w:top w:w="0" w:type="dxa"/>
          <w:left w:w="0" w:type="dxa"/>
          <w:bottom w:w="0" w:type="dxa"/>
          <w:right w:w="0" w:type="dxa"/>
        </w:tblCellMar>
      </w:tblPr>
      <w:tblGrid>
        <w:gridCol w:w="1923"/>
        <w:gridCol w:w="2256"/>
        <w:gridCol w:w="1113"/>
        <w:gridCol w:w="927"/>
        <w:gridCol w:w="863"/>
        <w:gridCol w:w="1453"/>
      </w:tblGrid>
      <w:tr>
        <w:tblPrEx>
          <w:shd w:val="clear"/>
          <w:tblLayout w:type="fixed"/>
          <w:tblCellMar>
            <w:top w:w="0" w:type="dxa"/>
            <w:left w:w="0" w:type="dxa"/>
            <w:bottom w:w="0" w:type="dxa"/>
            <w:right w:w="0" w:type="dxa"/>
          </w:tblCellMar>
        </w:tblPrEx>
        <w:trPr>
          <w:trHeight w:val="285" w:hRule="atLeast"/>
          <w:jc w:val="center"/>
        </w:trPr>
        <w:tc>
          <w:tcPr>
            <w:tcW w:w="192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行政处罚决定文书号:</w:t>
            </w:r>
          </w:p>
        </w:tc>
        <w:tc>
          <w:tcPr>
            <w:tcW w:w="6612" w:type="dxa"/>
            <w:gridSpan w:val="5"/>
            <w:tcBorders>
              <w:top w:val="single" w:color="auto" w:sz="8" w:space="0"/>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穗环法罚〔2018〕1号</w:t>
            </w:r>
            <w:bookmarkStart w:id="0" w:name="_GoBack"/>
            <w:bookmarkEnd w:id="0"/>
          </w:p>
        </w:tc>
      </w:tr>
      <w:tr>
        <w:tblPrEx>
          <w:tblLayout w:type="fixed"/>
          <w:tblCellMar>
            <w:top w:w="0" w:type="dxa"/>
            <w:left w:w="0" w:type="dxa"/>
            <w:bottom w:w="0" w:type="dxa"/>
            <w:right w:w="0" w:type="dxa"/>
          </w:tblCellMar>
        </w:tblPrEx>
        <w:trPr>
          <w:trHeight w:val="285" w:hRule="atLeast"/>
          <w:jc w:val="center"/>
        </w:trPr>
        <w:tc>
          <w:tcPr>
            <w:tcW w:w="192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处罚名称:</w:t>
            </w:r>
          </w:p>
        </w:tc>
        <w:tc>
          <w:tcPr>
            <w:tcW w:w="6612"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番禺南丰塑料制品有限公司行政处罚案</w:t>
            </w:r>
          </w:p>
        </w:tc>
      </w:tr>
      <w:tr>
        <w:tblPrEx>
          <w:tblLayout w:type="fixed"/>
          <w:tblCellMar>
            <w:top w:w="0" w:type="dxa"/>
            <w:left w:w="0" w:type="dxa"/>
            <w:bottom w:w="0" w:type="dxa"/>
            <w:right w:w="0" w:type="dxa"/>
          </w:tblCellMar>
        </w:tblPrEx>
        <w:trPr>
          <w:trHeight w:val="285" w:hRule="atLeast"/>
          <w:jc w:val="center"/>
        </w:trPr>
        <w:tc>
          <w:tcPr>
            <w:tcW w:w="1923"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处罚类别:</w:t>
            </w:r>
          </w:p>
        </w:tc>
        <w:tc>
          <w:tcPr>
            <w:tcW w:w="6612"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罚款</w:t>
            </w:r>
          </w:p>
        </w:tc>
      </w:tr>
      <w:tr>
        <w:tblPrEx>
          <w:tblLayout w:type="fixed"/>
          <w:tblCellMar>
            <w:top w:w="0" w:type="dxa"/>
            <w:left w:w="0" w:type="dxa"/>
            <w:bottom w:w="0" w:type="dxa"/>
            <w:right w:w="0" w:type="dxa"/>
          </w:tblCellMar>
        </w:tblPrEx>
        <w:trPr>
          <w:trHeight w:val="276" w:hRule="atLeast"/>
          <w:jc w:val="center"/>
        </w:trPr>
        <w:tc>
          <w:tcPr>
            <w:tcW w:w="192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处罚事由:</w:t>
            </w:r>
          </w:p>
        </w:tc>
        <w:tc>
          <w:tcPr>
            <w:tcW w:w="6612" w:type="dxa"/>
            <w:gridSpan w:val="5"/>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经我局执法监察支队2017年6月23日调查显示，2017年6月14日，当事人在正常生产情况下，经中国广州分析测试中心监测，污水排放口废水中的总磷浓度为2.84毫克/升，超过了《电镀水污染物排放标准》(DB44/1597-2015)表1排放限值（总磷浓度≤2毫克/升）。</w:t>
            </w:r>
          </w:p>
        </w:tc>
      </w:tr>
      <w:tr>
        <w:tblPrEx>
          <w:tblLayout w:type="fixed"/>
          <w:tblCellMar>
            <w:top w:w="0" w:type="dxa"/>
            <w:left w:w="0" w:type="dxa"/>
            <w:bottom w:w="0" w:type="dxa"/>
            <w:right w:w="0" w:type="dxa"/>
          </w:tblCellMar>
        </w:tblPrEx>
        <w:trPr>
          <w:trHeight w:val="347" w:hRule="atLeast"/>
          <w:jc w:val="center"/>
        </w:trPr>
        <w:tc>
          <w:tcPr>
            <w:tcW w:w="192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处罚依据:</w:t>
            </w:r>
          </w:p>
        </w:tc>
        <w:tc>
          <w:tcPr>
            <w:tcW w:w="6612"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依据《中华人民共和国环境保护法》第六十条、《环境保护主管部门实施限制生产、停产整治办法》（环境保护部令第30号）、《中华人民共和国水污染防治法》第七十四条及《广州市环境保护局规范行政处罚自由裁量权规定》附件《环境违法行为行政处罚自由裁量适用标准》第13（1）（C）（b）项的规定</w:t>
            </w:r>
          </w:p>
        </w:tc>
      </w:tr>
      <w:tr>
        <w:tblPrEx>
          <w:tblLayout w:type="fixed"/>
          <w:tblCellMar>
            <w:top w:w="0" w:type="dxa"/>
            <w:left w:w="0" w:type="dxa"/>
            <w:bottom w:w="0" w:type="dxa"/>
            <w:right w:w="0" w:type="dxa"/>
          </w:tblCellMar>
        </w:tblPrEx>
        <w:trPr>
          <w:trHeight w:val="285" w:hRule="atLeast"/>
          <w:jc w:val="center"/>
        </w:trPr>
        <w:tc>
          <w:tcPr>
            <w:tcW w:w="192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处罚结果:</w:t>
            </w:r>
          </w:p>
        </w:tc>
        <w:tc>
          <w:tcPr>
            <w:tcW w:w="6612"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责令当事人限制生产，限制生产期限为一个月，限制生产的改正方式以能达到达标排放目的为准，并处罚款6097元。</w:t>
            </w:r>
          </w:p>
        </w:tc>
      </w:tr>
      <w:tr>
        <w:tblPrEx>
          <w:tblLayout w:type="fixed"/>
          <w:tblCellMar>
            <w:top w:w="0" w:type="dxa"/>
            <w:left w:w="0" w:type="dxa"/>
            <w:bottom w:w="0" w:type="dxa"/>
            <w:right w:w="0" w:type="dxa"/>
          </w:tblCellMar>
        </w:tblPrEx>
        <w:trPr>
          <w:trHeight w:val="285" w:hRule="atLeast"/>
          <w:jc w:val="center"/>
        </w:trPr>
        <w:tc>
          <w:tcPr>
            <w:tcW w:w="1923"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行政相对人名称:</w:t>
            </w:r>
          </w:p>
        </w:tc>
        <w:tc>
          <w:tcPr>
            <w:tcW w:w="6612"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番禺南丰塑料制品有限公司</w:t>
            </w:r>
          </w:p>
        </w:tc>
      </w:tr>
      <w:tr>
        <w:tblPrEx>
          <w:tblLayout w:type="fixed"/>
          <w:tblCellMar>
            <w:top w:w="0" w:type="dxa"/>
            <w:left w:w="0" w:type="dxa"/>
            <w:bottom w:w="0" w:type="dxa"/>
            <w:right w:w="0" w:type="dxa"/>
          </w:tblCellMar>
        </w:tblPrEx>
        <w:trPr>
          <w:trHeight w:val="547" w:hRule="atLeast"/>
          <w:jc w:val="center"/>
        </w:trPr>
        <w:tc>
          <w:tcPr>
            <w:tcW w:w="1923" w:type="dxa"/>
            <w:vMerge w:val="restart"/>
            <w:tcBorders>
              <w:top w:val="nil"/>
              <w:left w:val="single" w:color="auto" w:sz="8"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行政相对人代码:</w:t>
            </w:r>
          </w:p>
        </w:tc>
        <w:tc>
          <w:tcPr>
            <w:tcW w:w="22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统一社会信用代码</w:t>
            </w:r>
          </w:p>
        </w:tc>
        <w:tc>
          <w:tcPr>
            <w:tcW w:w="1113"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组织机构代码</w:t>
            </w:r>
          </w:p>
        </w:tc>
        <w:tc>
          <w:tcPr>
            <w:tcW w:w="927"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工商登记码</w:t>
            </w:r>
          </w:p>
        </w:tc>
        <w:tc>
          <w:tcPr>
            <w:tcW w:w="863"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税务登记号</w:t>
            </w:r>
          </w:p>
        </w:tc>
        <w:tc>
          <w:tcPr>
            <w:tcW w:w="1453"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居民身份证号码</w:t>
            </w:r>
          </w:p>
        </w:tc>
      </w:tr>
      <w:tr>
        <w:tblPrEx>
          <w:tblLayout w:type="fixed"/>
          <w:tblCellMar>
            <w:top w:w="0" w:type="dxa"/>
            <w:left w:w="0" w:type="dxa"/>
            <w:bottom w:w="0" w:type="dxa"/>
            <w:right w:w="0" w:type="dxa"/>
          </w:tblCellMar>
        </w:tblPrEx>
        <w:trPr>
          <w:trHeight w:val="371" w:hRule="atLeast"/>
          <w:jc w:val="center"/>
        </w:trPr>
        <w:tc>
          <w:tcPr>
            <w:tcW w:w="1923"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sz w:val="21"/>
                <w:szCs w:val="21"/>
              </w:rPr>
            </w:pPr>
          </w:p>
        </w:tc>
        <w:tc>
          <w:tcPr>
            <w:tcW w:w="2256" w:type="dxa"/>
            <w:tcBorders>
              <w:top w:val="nil"/>
              <w:left w:val="nil"/>
              <w:bottom w:val="single" w:color="auto" w:sz="8" w:space="0"/>
              <w:right w:val="single" w:color="auto" w:sz="8" w:space="0"/>
            </w:tcBorders>
            <w:shd w:val="clear"/>
            <w:tcMar>
              <w:left w:w="108" w:type="dxa"/>
              <w:right w:w="108" w:type="dxa"/>
            </w:tcMar>
            <w:vAlign w:val="bottom"/>
          </w:tcPr>
          <w:p>
            <w:pPr>
              <w:pStyle w:val="2"/>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sz w:val="21"/>
                <w:szCs w:val="21"/>
              </w:rPr>
              <w:t>91440115618712245T</w:t>
            </w:r>
          </w:p>
        </w:tc>
        <w:tc>
          <w:tcPr>
            <w:tcW w:w="1113"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927"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863"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1453"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285" w:hRule="atLeast"/>
          <w:jc w:val="center"/>
        </w:trPr>
        <w:tc>
          <w:tcPr>
            <w:tcW w:w="1923"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法人代表姓名:</w:t>
            </w:r>
          </w:p>
        </w:tc>
        <w:tc>
          <w:tcPr>
            <w:tcW w:w="6612"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陈伟文</w:t>
            </w:r>
          </w:p>
        </w:tc>
      </w:tr>
      <w:tr>
        <w:tblPrEx>
          <w:tblLayout w:type="fixed"/>
          <w:tblCellMar>
            <w:top w:w="0" w:type="dxa"/>
            <w:left w:w="0" w:type="dxa"/>
            <w:bottom w:w="0" w:type="dxa"/>
            <w:right w:w="0" w:type="dxa"/>
          </w:tblCellMar>
        </w:tblPrEx>
        <w:trPr>
          <w:trHeight w:val="285" w:hRule="atLeast"/>
          <w:jc w:val="center"/>
        </w:trPr>
        <w:tc>
          <w:tcPr>
            <w:tcW w:w="1923"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处罚决定日期:</w:t>
            </w:r>
          </w:p>
        </w:tc>
        <w:tc>
          <w:tcPr>
            <w:tcW w:w="6612" w:type="dxa"/>
            <w:gridSpan w:val="5"/>
            <w:tcBorders>
              <w:top w:val="nil"/>
              <w:left w:val="nil"/>
              <w:bottom w:val="single" w:color="auto" w:sz="8" w:space="0"/>
              <w:right w:val="single" w:color="000000"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2018/1/3</w:t>
            </w:r>
          </w:p>
        </w:tc>
      </w:tr>
      <w:tr>
        <w:tblPrEx>
          <w:tblLayout w:type="fixed"/>
          <w:tblCellMar>
            <w:top w:w="0" w:type="dxa"/>
            <w:left w:w="0" w:type="dxa"/>
            <w:bottom w:w="0" w:type="dxa"/>
            <w:right w:w="0" w:type="dxa"/>
          </w:tblCellMar>
        </w:tblPrEx>
        <w:trPr>
          <w:trHeight w:val="285" w:hRule="atLeast"/>
          <w:jc w:val="center"/>
        </w:trPr>
        <w:tc>
          <w:tcPr>
            <w:tcW w:w="1923"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处罚机关:</w:t>
            </w:r>
          </w:p>
        </w:tc>
        <w:tc>
          <w:tcPr>
            <w:tcW w:w="6612"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广州市环境保护局</w:t>
            </w:r>
          </w:p>
        </w:tc>
      </w:tr>
      <w:tr>
        <w:tblPrEx>
          <w:tblLayout w:type="fixed"/>
          <w:tblCellMar>
            <w:top w:w="0" w:type="dxa"/>
            <w:left w:w="0" w:type="dxa"/>
            <w:bottom w:w="0" w:type="dxa"/>
            <w:right w:w="0" w:type="dxa"/>
          </w:tblCellMar>
        </w:tblPrEx>
        <w:trPr>
          <w:trHeight w:val="285" w:hRule="atLeast"/>
          <w:jc w:val="center"/>
        </w:trPr>
        <w:tc>
          <w:tcPr>
            <w:tcW w:w="1923"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地方编码:</w:t>
            </w:r>
          </w:p>
        </w:tc>
        <w:tc>
          <w:tcPr>
            <w:tcW w:w="6612" w:type="dxa"/>
            <w:gridSpan w:val="5"/>
            <w:tcBorders>
              <w:top w:val="nil"/>
              <w:left w:val="nil"/>
              <w:bottom w:val="single" w:color="auto" w:sz="8" w:space="0"/>
              <w:right w:val="single" w:color="000000"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400100</w:t>
            </w:r>
          </w:p>
        </w:tc>
      </w:tr>
      <w:tr>
        <w:tblPrEx>
          <w:tblLayout w:type="fixed"/>
          <w:tblCellMar>
            <w:top w:w="0" w:type="dxa"/>
            <w:left w:w="0" w:type="dxa"/>
            <w:bottom w:w="0" w:type="dxa"/>
            <w:right w:w="0" w:type="dxa"/>
          </w:tblCellMar>
        </w:tblPrEx>
        <w:trPr>
          <w:trHeight w:val="285" w:hRule="atLeast"/>
          <w:jc w:val="center"/>
        </w:trPr>
        <w:tc>
          <w:tcPr>
            <w:tcW w:w="1923"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当前状态:</w:t>
            </w:r>
          </w:p>
        </w:tc>
        <w:tc>
          <w:tcPr>
            <w:tcW w:w="6612"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正常</w:t>
            </w:r>
          </w:p>
        </w:tc>
      </w:tr>
      <w:tr>
        <w:tblPrEx>
          <w:tblLayout w:type="fixed"/>
          <w:tblCellMar>
            <w:top w:w="0" w:type="dxa"/>
            <w:left w:w="0" w:type="dxa"/>
            <w:bottom w:w="0" w:type="dxa"/>
            <w:right w:w="0" w:type="dxa"/>
          </w:tblCellMar>
        </w:tblPrEx>
        <w:trPr>
          <w:trHeight w:val="285" w:hRule="atLeast"/>
          <w:jc w:val="center"/>
        </w:trPr>
        <w:tc>
          <w:tcPr>
            <w:tcW w:w="1923"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数据更新时间戳:</w:t>
            </w:r>
          </w:p>
        </w:tc>
        <w:tc>
          <w:tcPr>
            <w:tcW w:w="6612"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2018/1/3</w:t>
            </w:r>
          </w:p>
        </w:tc>
      </w:tr>
      <w:tr>
        <w:tblPrEx>
          <w:tblLayout w:type="fixed"/>
          <w:tblCellMar>
            <w:top w:w="0" w:type="dxa"/>
            <w:left w:w="0" w:type="dxa"/>
            <w:bottom w:w="0" w:type="dxa"/>
            <w:right w:w="0" w:type="dxa"/>
          </w:tblCellMar>
        </w:tblPrEx>
        <w:trPr>
          <w:trHeight w:val="285" w:hRule="atLeast"/>
          <w:jc w:val="center"/>
        </w:trPr>
        <w:tc>
          <w:tcPr>
            <w:tcW w:w="1923"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备注:</w:t>
            </w:r>
          </w:p>
        </w:tc>
        <w:tc>
          <w:tcPr>
            <w:tcW w:w="6612"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r>
    </w:tbl>
    <w:p>
      <w:pPr>
        <w:keepNext w:val="0"/>
        <w:keepLines w:val="0"/>
        <w:widowControl/>
        <w:suppressLineNumbers w:val="0"/>
        <w:shd w:val="clear" w:fill="FFFFFF"/>
        <w:spacing w:before="45" w:beforeAutospacing="0" w:after="45" w:afterAutospacing="0" w:line="27" w:lineRule="atLeast"/>
        <w:ind w:left="75" w:right="75"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before="45" w:beforeAutospacing="0" w:after="45" w:afterAutospacing="0" w:line="27" w:lineRule="atLeast"/>
        <w:ind w:left="75" w:right="75"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before="45" w:beforeAutospacing="0" w:after="45" w:afterAutospacing="0" w:line="27" w:lineRule="atLeast"/>
        <w:ind w:left="75" w:right="75" w:firstLine="0"/>
        <w:jc w:val="left"/>
        <w:rPr>
          <w:rStyle w:val="4"/>
          <w:rFonts w:hint="eastAsia" w:ascii="宋体" w:hAnsi="宋体" w:eastAsia="宋体" w:cs="宋体"/>
          <w:i w:val="0"/>
          <w:caps w:val="0"/>
          <w:color w:val="000000"/>
          <w:spacing w:val="0"/>
          <w:kern w:val="0"/>
          <w:sz w:val="32"/>
          <w:szCs w:val="32"/>
          <w:shd w:val="clear" w:fill="FFFFFF"/>
          <w:lang w:val="en-US" w:eastAsia="zh-CN" w:bidi="ar"/>
        </w:rPr>
      </w:pPr>
    </w:p>
    <w:p>
      <w:pPr>
        <w:keepNext w:val="0"/>
        <w:keepLines w:val="0"/>
        <w:widowControl/>
        <w:suppressLineNumbers w:val="0"/>
        <w:shd w:val="clear" w:fill="FFFFFF"/>
        <w:spacing w:before="45" w:beforeAutospacing="0" w:after="45" w:afterAutospacing="0" w:line="27" w:lineRule="atLeast"/>
        <w:ind w:left="75" w:right="75" w:firstLine="0"/>
        <w:jc w:val="left"/>
        <w:rPr>
          <w:rStyle w:val="4"/>
          <w:rFonts w:hint="eastAsia" w:ascii="宋体" w:hAnsi="宋体" w:eastAsia="宋体" w:cs="宋体"/>
          <w:i w:val="0"/>
          <w:caps w:val="0"/>
          <w:color w:val="000000"/>
          <w:spacing w:val="0"/>
          <w:kern w:val="0"/>
          <w:sz w:val="32"/>
          <w:szCs w:val="32"/>
          <w:shd w:val="clear" w:fill="FFFFFF"/>
          <w:lang w:val="en-US" w:eastAsia="zh-CN" w:bidi="ar"/>
        </w:rPr>
      </w:pPr>
    </w:p>
    <w:p>
      <w:pPr>
        <w:keepNext w:val="0"/>
        <w:keepLines w:val="0"/>
        <w:widowControl/>
        <w:suppressLineNumbers w:val="0"/>
        <w:shd w:val="clear" w:fill="FFFFFF"/>
        <w:spacing w:before="45" w:beforeAutospacing="0" w:after="45" w:afterAutospacing="0" w:line="27" w:lineRule="atLeast"/>
        <w:ind w:right="75"/>
        <w:jc w:val="left"/>
        <w:rPr>
          <w:rFonts w:hint="eastAsia" w:ascii="宋体" w:hAnsi="宋体" w:eastAsia="宋体" w:cs="宋体"/>
          <w:i w:val="0"/>
          <w:caps w:val="0"/>
          <w:color w:val="000000"/>
          <w:spacing w:val="0"/>
          <w:sz w:val="21"/>
          <w:szCs w:val="21"/>
        </w:rPr>
      </w:pPr>
      <w:r>
        <w:rPr>
          <w:rStyle w:val="4"/>
          <w:rFonts w:hint="eastAsia" w:ascii="宋体" w:hAnsi="宋体" w:eastAsia="宋体" w:cs="宋体"/>
          <w:i w:val="0"/>
          <w:caps w:val="0"/>
          <w:color w:val="000000"/>
          <w:spacing w:val="0"/>
          <w:kern w:val="0"/>
          <w:sz w:val="32"/>
          <w:szCs w:val="32"/>
          <w:shd w:val="clear" w:fill="FFFFFF"/>
          <w:lang w:val="en-US" w:eastAsia="zh-CN" w:bidi="ar"/>
        </w:rPr>
        <w:t>全文信息</w:t>
      </w:r>
    </w:p>
    <w:p>
      <w:pPr>
        <w:pStyle w:val="2"/>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i w:val="0"/>
          <w:caps w:val="0"/>
          <w:color w:val="000000"/>
          <w:spacing w:val="0"/>
          <w:sz w:val="44"/>
          <w:szCs w:val="44"/>
          <w:shd w:val="clear" w:fill="FFFFFF"/>
        </w:rPr>
        <w:t>行政处罚决定书</w:t>
      </w: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pacing w:before="45" w:beforeAutospacing="0" w:after="45" w:afterAutospacing="0" w:line="27" w:lineRule="atLeast"/>
        <w:ind w:left="75" w:right="75"/>
        <w:jc w:val="both"/>
        <w:rPr>
          <w:sz w:val="21"/>
          <w:szCs w:val="21"/>
        </w:rPr>
      </w:pP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i w:val="0"/>
          <w:caps w:val="0"/>
          <w:color w:val="000000"/>
          <w:spacing w:val="0"/>
          <w:sz w:val="32"/>
          <w:szCs w:val="32"/>
          <w:shd w:val="clear" w:fill="FFFFFF"/>
        </w:rPr>
        <w:t> 穗环法罚〔2018〕1号 </w:t>
      </w:r>
    </w:p>
    <w:p>
      <w:pPr>
        <w:pStyle w:val="2"/>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i w:val="0"/>
          <w:caps w:val="0"/>
          <w:color w:val="000000"/>
          <w:spacing w:val="0"/>
          <w:sz w:val="21"/>
          <w:szCs w:val="21"/>
          <w:shd w:val="clear" w:fill="FFFFFF"/>
        </w:rPr>
        <w:t> </w:t>
      </w:r>
    </w:p>
    <w:p>
      <w:pPr>
        <w:keepNext w:val="0"/>
        <w:keepLines w:val="0"/>
        <w:widowControl/>
        <w:suppressLineNumbers w:val="0"/>
        <w:spacing w:before="45" w:beforeAutospacing="0" w:after="45" w:afterAutospacing="0" w:line="560" w:lineRule="atLeast"/>
        <w:ind w:left="75" w:right="75"/>
        <w:jc w:val="left"/>
        <w:rPr>
          <w:sz w:val="21"/>
          <w:szCs w:val="21"/>
        </w:rPr>
      </w:pPr>
      <w:r>
        <w:rPr>
          <w:rFonts w:ascii="仿宋_GB2312" w:hAnsi="宋体" w:eastAsia="仿宋_GB2312" w:cs="仿宋_GB2312"/>
          <w:i w:val="0"/>
          <w:caps w:val="0"/>
          <w:color w:val="000000"/>
          <w:spacing w:val="0"/>
          <w:kern w:val="0"/>
          <w:sz w:val="32"/>
          <w:szCs w:val="32"/>
          <w:shd w:val="clear" w:fill="FFFFFF"/>
          <w:lang w:val="en-US" w:eastAsia="zh-CN" w:bidi="ar"/>
        </w:rPr>
        <w:t>当事人：番禺南丰塑料制品有限公司</w:t>
      </w:r>
    </w:p>
    <w:p>
      <w:pPr>
        <w:keepNext w:val="0"/>
        <w:keepLines w:val="0"/>
        <w:widowControl/>
        <w:suppressLineNumbers w:val="0"/>
        <w:spacing w:before="45" w:beforeAutospacing="0" w:after="45" w:afterAutospacing="0" w:line="560" w:lineRule="atLeast"/>
        <w:ind w:left="75" w:right="75"/>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统一社会信用代码：</w:t>
      </w:r>
      <w:r>
        <w:rPr>
          <w:rFonts w:hint="eastAsia" w:ascii="宋体" w:hAnsi="宋体" w:eastAsia="宋体" w:cs="宋体"/>
          <w:i w:val="0"/>
          <w:caps w:val="0"/>
          <w:color w:val="000000"/>
          <w:spacing w:val="0"/>
          <w:kern w:val="0"/>
          <w:sz w:val="32"/>
          <w:szCs w:val="32"/>
          <w:shd w:val="clear" w:fill="FFFFFF"/>
          <w:lang w:val="en-US" w:eastAsia="zh-CN" w:bidi="ar"/>
        </w:rPr>
        <w:t>91440115618712245T</w:t>
      </w:r>
    </w:p>
    <w:p>
      <w:pPr>
        <w:keepNext w:val="0"/>
        <w:keepLines w:val="0"/>
        <w:widowControl/>
        <w:suppressLineNumbers w:val="0"/>
        <w:spacing w:before="45" w:beforeAutospacing="0" w:after="45" w:afterAutospacing="0" w:line="560" w:lineRule="atLeast"/>
        <w:ind w:left="75" w:right="75"/>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地</w:t>
      </w:r>
      <w:r>
        <w:rPr>
          <w:rFonts w:hint="eastAsia" w:ascii="宋体" w:hAnsi="宋体" w:eastAsia="宋体" w:cs="宋体"/>
          <w:i w:val="0"/>
          <w:caps w:val="0"/>
          <w:color w:val="000000"/>
          <w:spacing w:val="0"/>
          <w:kern w:val="0"/>
          <w:sz w:val="21"/>
          <w:szCs w:val="21"/>
          <w:shd w:val="clear" w:fill="FFFFFF"/>
          <w:lang w:val="en-US" w:eastAsia="zh-CN" w:bidi="ar"/>
        </w:rPr>
        <w:t>  </w:t>
      </w:r>
      <w:r>
        <w:rPr>
          <w:rFonts w:hint="eastAsia" w:ascii="仿宋_GB2312" w:hAnsi="宋体" w:eastAsia="仿宋_GB2312" w:cs="仿宋_GB2312"/>
          <w:i w:val="0"/>
          <w:caps w:val="0"/>
          <w:color w:val="000000"/>
          <w:spacing w:val="0"/>
          <w:kern w:val="0"/>
          <w:sz w:val="32"/>
          <w:szCs w:val="32"/>
          <w:shd w:val="clear" w:fill="FFFFFF"/>
          <w:lang w:val="en-US" w:eastAsia="zh-CN" w:bidi="ar"/>
        </w:rPr>
        <w:t>址：广州市南沙区南沙街广生路</w:t>
      </w:r>
      <w:r>
        <w:rPr>
          <w:rFonts w:hint="eastAsia" w:ascii="宋体" w:hAnsi="宋体" w:eastAsia="宋体" w:cs="宋体"/>
          <w:i w:val="0"/>
          <w:caps w:val="0"/>
          <w:color w:val="000000"/>
          <w:spacing w:val="0"/>
          <w:kern w:val="0"/>
          <w:sz w:val="32"/>
          <w:szCs w:val="32"/>
          <w:shd w:val="clear" w:fill="FFFFFF"/>
          <w:lang w:val="en-US" w:eastAsia="zh-CN" w:bidi="ar"/>
        </w:rPr>
        <w:t>12</w:t>
      </w:r>
      <w:r>
        <w:rPr>
          <w:rFonts w:hint="eastAsia" w:ascii="仿宋_GB2312" w:hAnsi="宋体" w:eastAsia="仿宋_GB2312" w:cs="仿宋_GB2312"/>
          <w:i w:val="0"/>
          <w:caps w:val="0"/>
          <w:color w:val="000000"/>
          <w:spacing w:val="0"/>
          <w:kern w:val="0"/>
          <w:sz w:val="32"/>
          <w:szCs w:val="32"/>
          <w:shd w:val="clear" w:fill="FFFFFF"/>
          <w:lang w:val="en-US" w:eastAsia="zh-CN" w:bidi="ar"/>
        </w:rPr>
        <w:t>号</w:t>
      </w:r>
    </w:p>
    <w:p>
      <w:pPr>
        <w:keepNext w:val="0"/>
        <w:keepLines w:val="0"/>
        <w:widowControl/>
        <w:suppressLineNumbers w:val="0"/>
        <w:spacing w:before="45" w:beforeAutospacing="0" w:after="45" w:afterAutospacing="0" w:line="560" w:lineRule="atLeast"/>
        <w:ind w:left="75" w:right="75" w:firstLine="640"/>
        <w:jc w:val="left"/>
        <w:rPr>
          <w:sz w:val="21"/>
          <w:szCs w:val="21"/>
        </w:rPr>
      </w:pPr>
      <w:r>
        <w:rPr>
          <w:rFonts w:ascii="黑体" w:hAnsi="宋体" w:eastAsia="黑体" w:cs="黑体"/>
          <w:i w:val="0"/>
          <w:caps w:val="0"/>
          <w:color w:val="000000"/>
          <w:spacing w:val="0"/>
          <w:kern w:val="0"/>
          <w:sz w:val="32"/>
          <w:szCs w:val="32"/>
          <w:shd w:val="clear" w:fill="FFFFFF"/>
          <w:lang w:val="en-US" w:eastAsia="zh-CN" w:bidi="ar"/>
        </w:rPr>
        <w:t>一、环境违法事实和证据</w:t>
      </w:r>
    </w:p>
    <w:p>
      <w:pPr>
        <w:keepNext w:val="0"/>
        <w:keepLines w:val="0"/>
        <w:widowControl/>
        <w:suppressLineNumbers w:val="0"/>
        <w:spacing w:before="45" w:beforeAutospacing="0" w:after="45" w:afterAutospacing="0" w:line="56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经我局执法监察支队</w:t>
      </w:r>
      <w:r>
        <w:rPr>
          <w:rFonts w:hint="eastAsia" w:ascii="宋体" w:hAnsi="宋体" w:eastAsia="宋体" w:cs="宋体"/>
          <w:i w:val="0"/>
          <w:caps w:val="0"/>
          <w:color w:val="000000"/>
          <w:spacing w:val="0"/>
          <w:kern w:val="0"/>
          <w:sz w:val="32"/>
          <w:szCs w:val="32"/>
          <w:shd w:val="clear" w:fill="FFFFFF"/>
          <w:lang w:val="en-US" w:eastAsia="zh-CN" w:bidi="ar"/>
        </w:rPr>
        <w:t>2017</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6</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23</w:t>
      </w:r>
      <w:r>
        <w:rPr>
          <w:rFonts w:hint="eastAsia" w:ascii="仿宋_GB2312" w:hAnsi="宋体" w:eastAsia="仿宋_GB2312" w:cs="仿宋_GB2312"/>
          <w:i w:val="0"/>
          <w:caps w:val="0"/>
          <w:color w:val="000000"/>
          <w:spacing w:val="0"/>
          <w:kern w:val="0"/>
          <w:sz w:val="32"/>
          <w:szCs w:val="32"/>
          <w:shd w:val="clear" w:fill="FFFFFF"/>
          <w:lang w:val="en-US" w:eastAsia="zh-CN" w:bidi="ar"/>
        </w:rPr>
        <w:t>日调查显示，</w:t>
      </w:r>
      <w:r>
        <w:rPr>
          <w:rFonts w:hint="eastAsia" w:ascii="宋体" w:hAnsi="宋体" w:eastAsia="宋体" w:cs="宋体"/>
          <w:i w:val="0"/>
          <w:caps w:val="0"/>
          <w:color w:val="000000"/>
          <w:spacing w:val="0"/>
          <w:kern w:val="0"/>
          <w:sz w:val="32"/>
          <w:szCs w:val="32"/>
          <w:shd w:val="clear" w:fill="FFFFFF"/>
          <w:lang w:val="en-US" w:eastAsia="zh-CN" w:bidi="ar"/>
        </w:rPr>
        <w:t>2017</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6</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14</w:t>
      </w:r>
      <w:r>
        <w:rPr>
          <w:rFonts w:hint="eastAsia" w:ascii="仿宋_GB2312" w:hAnsi="宋体" w:eastAsia="仿宋_GB2312" w:cs="仿宋_GB2312"/>
          <w:i w:val="0"/>
          <w:caps w:val="0"/>
          <w:color w:val="000000"/>
          <w:spacing w:val="0"/>
          <w:kern w:val="0"/>
          <w:sz w:val="32"/>
          <w:szCs w:val="32"/>
          <w:shd w:val="clear" w:fill="FFFFFF"/>
          <w:lang w:val="en-US" w:eastAsia="zh-CN" w:bidi="ar"/>
        </w:rPr>
        <w:t>日，当事人在正常生产情况下，经中国广州分析测试中心监测，污水排放口废水中的总磷浓度为</w:t>
      </w:r>
      <w:r>
        <w:rPr>
          <w:rFonts w:hint="eastAsia" w:ascii="宋体" w:hAnsi="宋体" w:eastAsia="宋体" w:cs="宋体"/>
          <w:i w:val="0"/>
          <w:caps w:val="0"/>
          <w:color w:val="000000"/>
          <w:spacing w:val="0"/>
          <w:kern w:val="0"/>
          <w:sz w:val="32"/>
          <w:szCs w:val="32"/>
          <w:shd w:val="clear" w:fill="FFFFFF"/>
          <w:lang w:val="en-US" w:eastAsia="zh-CN" w:bidi="ar"/>
        </w:rPr>
        <w:t>2.84</w:t>
      </w:r>
      <w:r>
        <w:rPr>
          <w:rFonts w:hint="eastAsia" w:ascii="仿宋_GB2312" w:hAnsi="宋体" w:eastAsia="仿宋_GB2312" w:cs="仿宋_GB2312"/>
          <w:i w:val="0"/>
          <w:caps w:val="0"/>
          <w:color w:val="000000"/>
          <w:spacing w:val="0"/>
          <w:kern w:val="0"/>
          <w:sz w:val="32"/>
          <w:szCs w:val="32"/>
          <w:shd w:val="clear" w:fill="FFFFFF"/>
          <w:lang w:val="en-US" w:eastAsia="zh-CN" w:bidi="ar"/>
        </w:rPr>
        <w:t>毫克</w:t>
      </w:r>
      <w:r>
        <w:rPr>
          <w:rFonts w:hint="eastAsia" w:ascii="宋体" w:hAnsi="宋体" w:eastAsia="宋体" w:cs="宋体"/>
          <w:i w:val="0"/>
          <w:caps w:val="0"/>
          <w:color w:val="000000"/>
          <w:spacing w:val="0"/>
          <w:kern w:val="0"/>
          <w:sz w:val="32"/>
          <w:szCs w:val="32"/>
          <w:shd w:val="clear" w:fill="FFFFFF"/>
          <w:lang w:val="en-US" w:eastAsia="zh-CN" w:bidi="ar"/>
        </w:rPr>
        <w:t>/</w:t>
      </w:r>
      <w:r>
        <w:rPr>
          <w:rFonts w:hint="eastAsia" w:ascii="仿宋_GB2312" w:hAnsi="宋体" w:eastAsia="仿宋_GB2312" w:cs="仿宋_GB2312"/>
          <w:i w:val="0"/>
          <w:caps w:val="0"/>
          <w:color w:val="000000"/>
          <w:spacing w:val="0"/>
          <w:kern w:val="0"/>
          <w:sz w:val="32"/>
          <w:szCs w:val="32"/>
          <w:shd w:val="clear" w:fill="FFFFFF"/>
          <w:lang w:val="en-US" w:eastAsia="zh-CN" w:bidi="ar"/>
        </w:rPr>
        <w:t>升，超过了《电镀水污染物排放标准》</w:t>
      </w:r>
      <w:r>
        <w:rPr>
          <w:rFonts w:hint="eastAsia" w:ascii="宋体" w:hAnsi="宋体" w:eastAsia="宋体" w:cs="宋体"/>
          <w:i w:val="0"/>
          <w:caps w:val="0"/>
          <w:color w:val="000000"/>
          <w:spacing w:val="0"/>
          <w:kern w:val="0"/>
          <w:sz w:val="32"/>
          <w:szCs w:val="32"/>
          <w:shd w:val="clear" w:fill="FFFFFF"/>
          <w:lang w:val="en-US" w:eastAsia="zh-CN" w:bidi="ar"/>
        </w:rPr>
        <w:t>(DB44/1597-2015)</w:t>
      </w:r>
      <w:r>
        <w:rPr>
          <w:rFonts w:hint="eastAsia" w:ascii="仿宋_GB2312" w:hAnsi="宋体" w:eastAsia="仿宋_GB2312" w:cs="仿宋_GB2312"/>
          <w:i w:val="0"/>
          <w:caps w:val="0"/>
          <w:color w:val="000000"/>
          <w:spacing w:val="0"/>
          <w:kern w:val="0"/>
          <w:sz w:val="32"/>
          <w:szCs w:val="32"/>
          <w:shd w:val="clear" w:fill="FFFFFF"/>
          <w:lang w:val="en-US" w:eastAsia="zh-CN" w:bidi="ar"/>
        </w:rPr>
        <w:t>表</w:t>
      </w:r>
      <w:r>
        <w:rPr>
          <w:rFonts w:hint="eastAsia" w:ascii="宋体" w:hAnsi="宋体" w:eastAsia="宋体" w:cs="宋体"/>
          <w:i w:val="0"/>
          <w:caps w:val="0"/>
          <w:color w:val="000000"/>
          <w:spacing w:val="0"/>
          <w:kern w:val="0"/>
          <w:sz w:val="32"/>
          <w:szCs w:val="32"/>
          <w:shd w:val="clear" w:fill="FFFFFF"/>
          <w:lang w:val="en-US" w:eastAsia="zh-CN" w:bidi="ar"/>
        </w:rPr>
        <w:t>1</w:t>
      </w:r>
      <w:r>
        <w:rPr>
          <w:rFonts w:hint="eastAsia" w:ascii="仿宋_GB2312" w:hAnsi="宋体" w:eastAsia="仿宋_GB2312" w:cs="仿宋_GB2312"/>
          <w:i w:val="0"/>
          <w:caps w:val="0"/>
          <w:color w:val="000000"/>
          <w:spacing w:val="0"/>
          <w:kern w:val="0"/>
          <w:sz w:val="32"/>
          <w:szCs w:val="32"/>
          <w:shd w:val="clear" w:fill="FFFFFF"/>
          <w:lang w:val="en-US" w:eastAsia="zh-CN" w:bidi="ar"/>
        </w:rPr>
        <w:t>排放限值（总磷浓度≤</w:t>
      </w:r>
      <w:r>
        <w:rPr>
          <w:rFonts w:hint="eastAsia" w:ascii="宋体" w:hAnsi="宋体" w:eastAsia="宋体" w:cs="宋体"/>
          <w:i w:val="0"/>
          <w:caps w:val="0"/>
          <w:color w:val="000000"/>
          <w:spacing w:val="0"/>
          <w:kern w:val="0"/>
          <w:sz w:val="32"/>
          <w:szCs w:val="32"/>
          <w:shd w:val="clear" w:fill="FFFFFF"/>
          <w:lang w:val="en-US" w:eastAsia="zh-CN" w:bidi="ar"/>
        </w:rPr>
        <w:t>2</w:t>
      </w:r>
      <w:r>
        <w:rPr>
          <w:rFonts w:hint="eastAsia" w:ascii="仿宋_GB2312" w:hAnsi="宋体" w:eastAsia="仿宋_GB2312" w:cs="仿宋_GB2312"/>
          <w:i w:val="0"/>
          <w:caps w:val="0"/>
          <w:color w:val="000000"/>
          <w:spacing w:val="0"/>
          <w:kern w:val="0"/>
          <w:sz w:val="32"/>
          <w:szCs w:val="32"/>
          <w:shd w:val="clear" w:fill="FFFFFF"/>
          <w:lang w:val="en-US" w:eastAsia="zh-CN" w:bidi="ar"/>
        </w:rPr>
        <w:t>毫克</w:t>
      </w:r>
      <w:r>
        <w:rPr>
          <w:rFonts w:hint="eastAsia" w:ascii="宋体" w:hAnsi="宋体" w:eastAsia="宋体" w:cs="宋体"/>
          <w:i w:val="0"/>
          <w:caps w:val="0"/>
          <w:color w:val="000000"/>
          <w:spacing w:val="0"/>
          <w:kern w:val="0"/>
          <w:sz w:val="32"/>
          <w:szCs w:val="32"/>
          <w:shd w:val="clear" w:fill="FFFFFF"/>
          <w:lang w:val="en-US" w:eastAsia="zh-CN" w:bidi="ar"/>
        </w:rPr>
        <w:t>/</w:t>
      </w:r>
      <w:r>
        <w:rPr>
          <w:rFonts w:hint="eastAsia" w:ascii="仿宋_GB2312" w:hAnsi="宋体" w:eastAsia="仿宋_GB2312" w:cs="仿宋_GB2312"/>
          <w:i w:val="0"/>
          <w:caps w:val="0"/>
          <w:color w:val="000000"/>
          <w:spacing w:val="0"/>
          <w:kern w:val="0"/>
          <w:sz w:val="32"/>
          <w:szCs w:val="32"/>
          <w:shd w:val="clear" w:fill="FFFFFF"/>
          <w:lang w:val="en-US" w:eastAsia="zh-CN" w:bidi="ar"/>
        </w:rPr>
        <w:t>升）。</w:t>
      </w:r>
    </w:p>
    <w:p>
      <w:pPr>
        <w:keepNext w:val="0"/>
        <w:keepLines w:val="0"/>
        <w:widowControl/>
        <w:suppressLineNumbers w:val="0"/>
        <w:spacing w:before="45" w:beforeAutospacing="0" w:after="45" w:afterAutospacing="0" w:line="56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以上事实，有《监测报告》、《询问笔录》等证据为证。</w:t>
      </w:r>
    </w:p>
    <w:p>
      <w:pPr>
        <w:keepNext w:val="0"/>
        <w:keepLines w:val="0"/>
        <w:widowControl/>
        <w:suppressLineNumbers w:val="0"/>
        <w:spacing w:before="45" w:beforeAutospacing="0" w:after="45" w:afterAutospacing="0" w:line="56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当事人上述行为违反了《中华人民共和国水污染防治法》（</w:t>
      </w:r>
      <w:r>
        <w:rPr>
          <w:rFonts w:hint="eastAsia" w:ascii="宋体" w:hAnsi="宋体" w:eastAsia="宋体" w:cs="宋体"/>
          <w:i w:val="0"/>
          <w:caps w:val="0"/>
          <w:color w:val="000000"/>
          <w:spacing w:val="0"/>
          <w:kern w:val="0"/>
          <w:sz w:val="32"/>
          <w:szCs w:val="32"/>
          <w:shd w:val="clear" w:fill="FFFFFF"/>
          <w:lang w:val="en-US" w:eastAsia="zh-CN" w:bidi="ar"/>
        </w:rPr>
        <w:t>2008</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2</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28</w:t>
      </w:r>
      <w:r>
        <w:rPr>
          <w:rFonts w:hint="eastAsia" w:ascii="仿宋_GB2312" w:hAnsi="宋体" w:eastAsia="仿宋_GB2312" w:cs="仿宋_GB2312"/>
          <w:i w:val="0"/>
          <w:caps w:val="0"/>
          <w:color w:val="000000"/>
          <w:spacing w:val="0"/>
          <w:kern w:val="0"/>
          <w:sz w:val="32"/>
          <w:szCs w:val="32"/>
          <w:shd w:val="clear" w:fill="FFFFFF"/>
          <w:lang w:val="en-US" w:eastAsia="zh-CN" w:bidi="ar"/>
        </w:rPr>
        <w:t>日修订）第九条的规定。</w:t>
      </w:r>
    </w:p>
    <w:p>
      <w:pPr>
        <w:keepNext w:val="0"/>
        <w:keepLines w:val="0"/>
        <w:widowControl/>
        <w:suppressLineNumbers w:val="0"/>
        <w:spacing w:before="45" w:beforeAutospacing="0" w:after="45" w:afterAutospacing="0" w:line="560" w:lineRule="atLeast"/>
        <w:ind w:left="75" w:right="75" w:firstLine="640"/>
        <w:jc w:val="left"/>
        <w:rPr>
          <w:sz w:val="21"/>
          <w:szCs w:val="21"/>
        </w:rPr>
      </w:pPr>
      <w:r>
        <w:rPr>
          <w:rFonts w:hint="eastAsia" w:ascii="宋体" w:hAnsi="宋体" w:eastAsia="宋体" w:cs="宋体"/>
          <w:i w:val="0"/>
          <w:caps w:val="0"/>
          <w:color w:val="000000"/>
          <w:spacing w:val="0"/>
          <w:kern w:val="0"/>
          <w:sz w:val="32"/>
          <w:szCs w:val="32"/>
          <w:shd w:val="clear" w:fill="FFFFFF"/>
          <w:lang w:val="en-US" w:eastAsia="zh-CN" w:bidi="ar"/>
        </w:rPr>
        <w:t>2017</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8</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30</w:t>
      </w:r>
      <w:r>
        <w:rPr>
          <w:rFonts w:hint="eastAsia" w:ascii="仿宋_GB2312" w:hAnsi="宋体" w:eastAsia="仿宋_GB2312" w:cs="仿宋_GB2312"/>
          <w:i w:val="0"/>
          <w:caps w:val="0"/>
          <w:color w:val="000000"/>
          <w:spacing w:val="0"/>
          <w:kern w:val="0"/>
          <w:sz w:val="32"/>
          <w:szCs w:val="32"/>
          <w:shd w:val="clear" w:fill="FFFFFF"/>
          <w:lang w:val="en-US" w:eastAsia="zh-CN" w:bidi="ar"/>
        </w:rPr>
        <w:t>日，我局作出《行政处罚听证告知书》（穗环法告〔</w:t>
      </w:r>
      <w:r>
        <w:rPr>
          <w:rFonts w:hint="eastAsia" w:ascii="宋体" w:hAnsi="宋体" w:eastAsia="宋体" w:cs="宋体"/>
          <w:i w:val="0"/>
          <w:caps w:val="0"/>
          <w:color w:val="000000"/>
          <w:spacing w:val="0"/>
          <w:kern w:val="0"/>
          <w:sz w:val="32"/>
          <w:szCs w:val="32"/>
          <w:shd w:val="clear" w:fill="FFFFFF"/>
          <w:lang w:val="en-US" w:eastAsia="zh-CN" w:bidi="ar"/>
        </w:rPr>
        <w:t>2017</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68</w:t>
      </w:r>
      <w:r>
        <w:rPr>
          <w:rFonts w:hint="eastAsia" w:ascii="仿宋_GB2312" w:hAnsi="宋体" w:eastAsia="仿宋_GB2312" w:cs="仿宋_GB2312"/>
          <w:i w:val="0"/>
          <w:caps w:val="0"/>
          <w:color w:val="000000"/>
          <w:spacing w:val="0"/>
          <w:kern w:val="0"/>
          <w:sz w:val="32"/>
          <w:szCs w:val="32"/>
          <w:shd w:val="clear" w:fill="FFFFFF"/>
          <w:lang w:val="en-US" w:eastAsia="zh-CN" w:bidi="ar"/>
        </w:rPr>
        <w:t>号），并于</w:t>
      </w:r>
      <w:r>
        <w:rPr>
          <w:rFonts w:hint="eastAsia" w:ascii="宋体" w:hAnsi="宋体" w:eastAsia="宋体" w:cs="宋体"/>
          <w:i w:val="0"/>
          <w:caps w:val="0"/>
          <w:color w:val="000000"/>
          <w:spacing w:val="0"/>
          <w:kern w:val="0"/>
          <w:sz w:val="32"/>
          <w:szCs w:val="32"/>
          <w:shd w:val="clear" w:fill="FFFFFF"/>
          <w:lang w:val="en-US" w:eastAsia="zh-CN" w:bidi="ar"/>
        </w:rPr>
        <w:t>9</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2</w:t>
      </w:r>
      <w:r>
        <w:rPr>
          <w:rFonts w:hint="eastAsia" w:ascii="仿宋_GB2312" w:hAnsi="宋体" w:eastAsia="仿宋_GB2312" w:cs="仿宋_GB2312"/>
          <w:i w:val="0"/>
          <w:caps w:val="0"/>
          <w:color w:val="000000"/>
          <w:spacing w:val="0"/>
          <w:kern w:val="0"/>
          <w:sz w:val="32"/>
          <w:szCs w:val="32"/>
          <w:shd w:val="clear" w:fill="FFFFFF"/>
          <w:lang w:val="en-US" w:eastAsia="zh-CN" w:bidi="ar"/>
        </w:rPr>
        <w:t>日送达，当事人未在有效期限内向我局提交书面申辩意见。现本案经我局审查结束。</w:t>
      </w:r>
    </w:p>
    <w:p>
      <w:pPr>
        <w:keepNext w:val="0"/>
        <w:keepLines w:val="0"/>
        <w:widowControl/>
        <w:suppressLineNumbers w:val="0"/>
        <w:spacing w:before="45" w:beforeAutospacing="0" w:after="45" w:afterAutospacing="0" w:line="560" w:lineRule="atLeast"/>
        <w:ind w:left="75" w:right="75" w:firstLine="640"/>
        <w:jc w:val="left"/>
        <w:rPr>
          <w:sz w:val="21"/>
          <w:szCs w:val="21"/>
        </w:rPr>
      </w:pPr>
      <w:r>
        <w:rPr>
          <w:rFonts w:hint="eastAsia" w:ascii="黑体" w:hAnsi="宋体" w:eastAsia="黑体" w:cs="黑体"/>
          <w:i w:val="0"/>
          <w:caps w:val="0"/>
          <w:color w:val="000000"/>
          <w:spacing w:val="0"/>
          <w:kern w:val="0"/>
          <w:sz w:val="32"/>
          <w:szCs w:val="32"/>
          <w:shd w:val="clear" w:fill="FFFFFF"/>
          <w:lang w:val="en-US" w:eastAsia="zh-CN" w:bidi="ar"/>
        </w:rPr>
        <w:t>二、行政处罚的依据、种类及履行方式和期限</w:t>
      </w:r>
    </w:p>
    <w:p>
      <w:pPr>
        <w:keepNext w:val="0"/>
        <w:keepLines w:val="0"/>
        <w:widowControl/>
        <w:suppressLineNumbers w:val="0"/>
        <w:spacing w:before="45" w:beforeAutospacing="0" w:after="45" w:afterAutospacing="0" w:line="56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我局依据《中华人民共和国环境保护法》第六十条、《中华人民共和国水污染防治法》（</w:t>
      </w:r>
      <w:r>
        <w:rPr>
          <w:rFonts w:hint="eastAsia" w:ascii="宋体" w:hAnsi="宋体" w:eastAsia="宋体" w:cs="宋体"/>
          <w:i w:val="0"/>
          <w:caps w:val="0"/>
          <w:color w:val="000000"/>
          <w:spacing w:val="0"/>
          <w:kern w:val="0"/>
          <w:sz w:val="32"/>
          <w:szCs w:val="32"/>
          <w:shd w:val="clear" w:fill="FFFFFF"/>
          <w:lang w:val="en-US" w:eastAsia="zh-CN" w:bidi="ar"/>
        </w:rPr>
        <w:t>2008</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2</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28</w:t>
      </w:r>
      <w:r>
        <w:rPr>
          <w:rFonts w:hint="eastAsia" w:ascii="仿宋_GB2312" w:hAnsi="宋体" w:eastAsia="仿宋_GB2312" w:cs="仿宋_GB2312"/>
          <w:i w:val="0"/>
          <w:caps w:val="0"/>
          <w:color w:val="000000"/>
          <w:spacing w:val="0"/>
          <w:kern w:val="0"/>
          <w:sz w:val="32"/>
          <w:szCs w:val="32"/>
          <w:shd w:val="clear" w:fill="FFFFFF"/>
          <w:lang w:val="en-US" w:eastAsia="zh-CN" w:bidi="ar"/>
        </w:rPr>
        <w:t>日修订）第七十四条、《环境保护主管部门实施限制生产、停产整治办法》（环境保护部令第</w:t>
      </w:r>
      <w:r>
        <w:rPr>
          <w:rFonts w:hint="eastAsia" w:ascii="宋体" w:hAnsi="宋体" w:eastAsia="宋体" w:cs="宋体"/>
          <w:i w:val="0"/>
          <w:caps w:val="0"/>
          <w:color w:val="000000"/>
          <w:spacing w:val="0"/>
          <w:kern w:val="0"/>
          <w:sz w:val="32"/>
          <w:szCs w:val="32"/>
          <w:shd w:val="clear" w:fill="FFFFFF"/>
          <w:lang w:val="en-US" w:eastAsia="zh-CN" w:bidi="ar"/>
        </w:rPr>
        <w:t>30</w:t>
      </w:r>
      <w:r>
        <w:rPr>
          <w:rFonts w:hint="eastAsia" w:ascii="仿宋_GB2312" w:hAnsi="宋体" w:eastAsia="仿宋_GB2312" w:cs="仿宋_GB2312"/>
          <w:i w:val="0"/>
          <w:caps w:val="0"/>
          <w:color w:val="000000"/>
          <w:spacing w:val="0"/>
          <w:kern w:val="0"/>
          <w:sz w:val="32"/>
          <w:szCs w:val="32"/>
          <w:shd w:val="clear" w:fill="FFFFFF"/>
          <w:lang w:val="en-US" w:eastAsia="zh-CN" w:bidi="ar"/>
        </w:rPr>
        <w:t>号）及《广州市环境保护局规范行政处罚自由裁量权规定》附件《环境违法行为行政处罚自由裁量适用标准》第</w:t>
      </w:r>
      <w:r>
        <w:rPr>
          <w:rFonts w:hint="eastAsia" w:ascii="宋体" w:hAnsi="宋体" w:eastAsia="宋体" w:cs="宋体"/>
          <w:i w:val="0"/>
          <w:caps w:val="0"/>
          <w:color w:val="000000"/>
          <w:spacing w:val="0"/>
          <w:kern w:val="0"/>
          <w:sz w:val="32"/>
          <w:szCs w:val="32"/>
          <w:shd w:val="clear" w:fill="FFFFFF"/>
          <w:lang w:val="en-US" w:eastAsia="zh-CN" w:bidi="ar"/>
        </w:rPr>
        <w:t>13</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1</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C</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b</w:t>
      </w:r>
      <w:r>
        <w:rPr>
          <w:rFonts w:hint="eastAsia" w:ascii="仿宋_GB2312" w:hAnsi="宋体" w:eastAsia="仿宋_GB2312" w:cs="仿宋_GB2312"/>
          <w:i w:val="0"/>
          <w:caps w:val="0"/>
          <w:color w:val="000000"/>
          <w:spacing w:val="0"/>
          <w:kern w:val="0"/>
          <w:sz w:val="32"/>
          <w:szCs w:val="32"/>
          <w:shd w:val="clear" w:fill="FFFFFF"/>
          <w:lang w:val="en-US" w:eastAsia="zh-CN" w:bidi="ar"/>
        </w:rPr>
        <w:t>）项的规定，责令当事人限制生产，限制生产期限为三个月，限制生产的改正方式以能达到达标排放目的为准，并作出处罚如下：</w:t>
      </w:r>
    </w:p>
    <w:p>
      <w:pPr>
        <w:keepNext w:val="0"/>
        <w:keepLines w:val="0"/>
        <w:widowControl/>
        <w:suppressLineNumbers w:val="0"/>
        <w:spacing w:before="45" w:beforeAutospacing="0" w:after="45" w:afterAutospacing="0" w:line="56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罚款</w:t>
      </w:r>
      <w:r>
        <w:rPr>
          <w:rFonts w:hint="eastAsia" w:ascii="宋体" w:hAnsi="宋体" w:eastAsia="宋体" w:cs="宋体"/>
          <w:i w:val="0"/>
          <w:caps w:val="0"/>
          <w:color w:val="000000"/>
          <w:spacing w:val="0"/>
          <w:kern w:val="0"/>
          <w:sz w:val="32"/>
          <w:szCs w:val="32"/>
          <w:shd w:val="clear" w:fill="FFFFFF"/>
          <w:lang w:val="en-US" w:eastAsia="zh-CN" w:bidi="ar"/>
        </w:rPr>
        <w:t>6097</w:t>
      </w:r>
      <w:r>
        <w:rPr>
          <w:rFonts w:hint="eastAsia" w:ascii="仿宋_GB2312" w:hAnsi="宋体" w:eastAsia="仿宋_GB2312" w:cs="仿宋_GB2312"/>
          <w:i w:val="0"/>
          <w:caps w:val="0"/>
          <w:color w:val="000000"/>
          <w:spacing w:val="0"/>
          <w:kern w:val="0"/>
          <w:sz w:val="32"/>
          <w:szCs w:val="32"/>
          <w:shd w:val="clear" w:fill="FFFFFF"/>
          <w:lang w:val="en-US" w:eastAsia="zh-CN" w:bidi="ar"/>
        </w:rPr>
        <w:t>元。</w:t>
      </w:r>
    </w:p>
    <w:p>
      <w:pPr>
        <w:keepNext w:val="0"/>
        <w:keepLines w:val="0"/>
        <w:widowControl/>
        <w:suppressLineNumbers w:val="0"/>
        <w:spacing w:before="45" w:beforeAutospacing="0" w:after="45" w:afterAutospacing="0" w:line="56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当事人应当在收到本处罚决定书后立即整改，并在</w:t>
      </w:r>
      <w:r>
        <w:rPr>
          <w:rFonts w:hint="eastAsia" w:ascii="宋体" w:hAnsi="宋体" w:eastAsia="宋体" w:cs="宋体"/>
          <w:i w:val="0"/>
          <w:caps w:val="0"/>
          <w:color w:val="000000"/>
          <w:spacing w:val="0"/>
          <w:kern w:val="0"/>
          <w:sz w:val="32"/>
          <w:szCs w:val="32"/>
          <w:shd w:val="clear" w:fill="FFFFFF"/>
          <w:lang w:val="en-US" w:eastAsia="zh-CN" w:bidi="ar"/>
        </w:rPr>
        <w:t>15</w:t>
      </w:r>
      <w:r>
        <w:rPr>
          <w:rFonts w:hint="eastAsia" w:ascii="仿宋_GB2312" w:hAnsi="宋体" w:eastAsia="仿宋_GB2312" w:cs="仿宋_GB2312"/>
          <w:i w:val="0"/>
          <w:caps w:val="0"/>
          <w:color w:val="000000"/>
          <w:spacing w:val="0"/>
          <w:kern w:val="0"/>
          <w:sz w:val="32"/>
          <w:szCs w:val="32"/>
          <w:shd w:val="clear" w:fill="FFFFFF"/>
          <w:lang w:val="en-US" w:eastAsia="zh-CN" w:bidi="ar"/>
        </w:rPr>
        <w:t>个工作日内将整改方案报我局备案并向社会公开。整改方案应当确定改正措施、工程进度、资金保障和责任人员等事项。</w:t>
      </w:r>
    </w:p>
    <w:p>
      <w:pPr>
        <w:keepNext w:val="0"/>
        <w:keepLines w:val="0"/>
        <w:widowControl/>
        <w:suppressLineNumbers w:val="0"/>
        <w:spacing w:before="45" w:beforeAutospacing="0" w:after="45" w:afterAutospacing="0" w:line="56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当事人在整改期间，不得超过污染物排放标准或者重点污染物日最高允许排放总量控制指标排放污染物，并按照环境监测技术规范进行监测或者委托有条件的环境监测机构开展监测，保存监测记录。</w:t>
      </w:r>
    </w:p>
    <w:p>
      <w:pPr>
        <w:keepNext w:val="0"/>
        <w:keepLines w:val="0"/>
        <w:widowControl/>
        <w:suppressLineNumbers w:val="0"/>
        <w:spacing w:before="45" w:beforeAutospacing="0" w:after="45" w:afterAutospacing="0" w:line="56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当事人完成整改任务的，应当在</w:t>
      </w:r>
      <w:r>
        <w:rPr>
          <w:rFonts w:hint="eastAsia" w:ascii="宋体" w:hAnsi="宋体" w:eastAsia="宋体" w:cs="宋体"/>
          <w:i w:val="0"/>
          <w:caps w:val="0"/>
          <w:color w:val="000000"/>
          <w:spacing w:val="0"/>
          <w:kern w:val="0"/>
          <w:sz w:val="32"/>
          <w:szCs w:val="32"/>
          <w:shd w:val="clear" w:fill="FFFFFF"/>
          <w:lang w:val="en-US" w:eastAsia="zh-CN" w:bidi="ar"/>
        </w:rPr>
        <w:t>15</w:t>
      </w:r>
      <w:r>
        <w:rPr>
          <w:rFonts w:hint="eastAsia" w:ascii="仿宋_GB2312" w:hAnsi="宋体" w:eastAsia="仿宋_GB2312" w:cs="仿宋_GB2312"/>
          <w:i w:val="0"/>
          <w:caps w:val="0"/>
          <w:color w:val="000000"/>
          <w:spacing w:val="0"/>
          <w:kern w:val="0"/>
          <w:sz w:val="32"/>
          <w:szCs w:val="32"/>
          <w:shd w:val="clear" w:fill="FFFFFF"/>
          <w:lang w:val="en-US" w:eastAsia="zh-CN" w:bidi="ar"/>
        </w:rPr>
        <w:t>个工作日内将整改任务完成情况和整改信息社会公开情况报我局备案，并提交监测报告及整改期间生产用电量、用水量、主要产品产量与整改前的对比情况等材料。限制生产决定自当事人将整改任务完成情况和整改信息社会公开情况报我局备案之日起解除。</w:t>
      </w:r>
    </w:p>
    <w:p>
      <w:pPr>
        <w:keepNext w:val="0"/>
        <w:keepLines w:val="0"/>
        <w:widowControl/>
        <w:suppressLineNumbers w:val="0"/>
        <w:spacing w:before="45" w:beforeAutospacing="0" w:after="45" w:afterAutospacing="0" w:line="56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限当事人在收到本处罚决定书之日起</w:t>
      </w:r>
      <w:r>
        <w:rPr>
          <w:rFonts w:hint="eastAsia" w:ascii="宋体" w:hAnsi="宋体" w:eastAsia="宋体" w:cs="宋体"/>
          <w:i w:val="0"/>
          <w:caps w:val="0"/>
          <w:color w:val="000000"/>
          <w:spacing w:val="0"/>
          <w:kern w:val="0"/>
          <w:sz w:val="32"/>
          <w:szCs w:val="32"/>
          <w:shd w:val="clear" w:fill="FFFFFF"/>
          <w:lang w:val="en-US" w:eastAsia="zh-CN" w:bidi="ar"/>
        </w:rPr>
        <w:t>15</w:t>
      </w:r>
      <w:r>
        <w:rPr>
          <w:rFonts w:hint="eastAsia" w:ascii="仿宋_GB2312" w:hAnsi="宋体" w:eastAsia="仿宋_GB2312" w:cs="仿宋_GB2312"/>
          <w:i w:val="0"/>
          <w:caps w:val="0"/>
          <w:color w:val="000000"/>
          <w:spacing w:val="0"/>
          <w:kern w:val="0"/>
          <w:sz w:val="32"/>
          <w:szCs w:val="32"/>
          <w:shd w:val="clear" w:fill="FFFFFF"/>
          <w:lang w:val="en-US" w:eastAsia="zh-CN" w:bidi="ar"/>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Pr>
          <w:rFonts w:hint="eastAsia" w:ascii="宋体" w:hAnsi="宋体" w:eastAsia="宋体" w:cs="宋体"/>
          <w:i w:val="0"/>
          <w:caps w:val="0"/>
          <w:color w:val="000000"/>
          <w:spacing w:val="0"/>
          <w:kern w:val="0"/>
          <w:sz w:val="32"/>
          <w:szCs w:val="32"/>
          <w:shd w:val="clear" w:fill="FFFFFF"/>
          <w:lang w:val="en-US" w:eastAsia="zh-CN" w:bidi="ar"/>
        </w:rPr>
        <w:t>3124</w:t>
      </w:r>
      <w:r>
        <w:rPr>
          <w:rFonts w:hint="eastAsia" w:ascii="仿宋_GB2312" w:hAnsi="宋体" w:eastAsia="仿宋_GB2312" w:cs="仿宋_GB2312"/>
          <w:i w:val="0"/>
          <w:caps w:val="0"/>
          <w:color w:val="000000"/>
          <w:spacing w:val="0"/>
          <w:kern w:val="0"/>
          <w:sz w:val="32"/>
          <w:szCs w:val="32"/>
          <w:shd w:val="clear" w:fill="FFFFFF"/>
          <w:lang w:val="en-US" w:eastAsia="zh-CN" w:bidi="ar"/>
        </w:rPr>
        <w:t>。</w:t>
      </w:r>
    </w:p>
    <w:p>
      <w:pPr>
        <w:keepNext w:val="0"/>
        <w:keepLines w:val="0"/>
        <w:widowControl/>
        <w:suppressLineNumbers w:val="0"/>
        <w:spacing w:before="45" w:beforeAutospacing="0" w:after="45" w:afterAutospacing="0" w:line="560" w:lineRule="atLeast"/>
        <w:ind w:left="75" w:right="75" w:firstLine="640"/>
        <w:jc w:val="left"/>
        <w:rPr>
          <w:sz w:val="21"/>
          <w:szCs w:val="21"/>
        </w:rPr>
      </w:pPr>
      <w:r>
        <w:rPr>
          <w:rFonts w:hint="eastAsia" w:ascii="黑体" w:hAnsi="宋体" w:eastAsia="黑体" w:cs="黑体"/>
          <w:i w:val="0"/>
          <w:caps w:val="0"/>
          <w:color w:val="000000"/>
          <w:spacing w:val="0"/>
          <w:kern w:val="0"/>
          <w:sz w:val="32"/>
          <w:szCs w:val="32"/>
          <w:shd w:val="clear" w:fill="FFFFFF"/>
          <w:lang w:val="en-US" w:eastAsia="zh-CN" w:bidi="ar"/>
        </w:rPr>
        <w:t>三、申请行政复议或者提起行政诉讼的途径和期限</w:t>
      </w:r>
    </w:p>
    <w:p>
      <w:pPr>
        <w:keepNext w:val="0"/>
        <w:keepLines w:val="0"/>
        <w:widowControl/>
        <w:suppressLineNumbers w:val="0"/>
        <w:spacing w:before="45" w:beforeAutospacing="0" w:after="45" w:afterAutospacing="0" w:line="560" w:lineRule="atLeast"/>
        <w:ind w:left="75" w:right="70"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如不服上述行政处罚决定，可在接到本处罚决定书之日起</w:t>
      </w:r>
      <w:r>
        <w:rPr>
          <w:rFonts w:hint="eastAsia" w:ascii="宋体" w:hAnsi="宋体" w:eastAsia="宋体" w:cs="宋体"/>
          <w:i w:val="0"/>
          <w:caps w:val="0"/>
          <w:color w:val="000000"/>
          <w:spacing w:val="0"/>
          <w:kern w:val="0"/>
          <w:sz w:val="32"/>
          <w:szCs w:val="32"/>
          <w:shd w:val="clear" w:fill="FFFFFF"/>
          <w:lang w:val="en-US" w:eastAsia="zh-CN" w:bidi="ar"/>
        </w:rPr>
        <w:t>60</w:t>
      </w:r>
      <w:r>
        <w:rPr>
          <w:rFonts w:hint="eastAsia" w:ascii="仿宋_GB2312" w:hAnsi="宋体" w:eastAsia="仿宋_GB2312" w:cs="仿宋_GB2312"/>
          <w:i w:val="0"/>
          <w:caps w:val="0"/>
          <w:color w:val="000000"/>
          <w:spacing w:val="0"/>
          <w:kern w:val="0"/>
          <w:sz w:val="32"/>
          <w:szCs w:val="32"/>
          <w:shd w:val="clear" w:fill="FFFFFF"/>
          <w:lang w:val="en-US" w:eastAsia="zh-CN" w:bidi="ar"/>
        </w:rPr>
        <w:t>日内，</w:t>
      </w:r>
      <w:r>
        <w:rPr>
          <w:rFonts w:hint="eastAsia" w:ascii="仿宋_GB2312" w:hAnsi="宋体" w:eastAsia="仿宋_GB2312" w:cs="仿宋_GB2312"/>
          <w:i w:val="0"/>
          <w:caps w:val="0"/>
          <w:color w:val="000000"/>
          <w:spacing w:val="0"/>
          <w:kern w:val="0"/>
          <w:sz w:val="21"/>
          <w:szCs w:val="21"/>
          <w:shd w:val="clear" w:fill="FFFFFF"/>
          <w:lang w:val="en-US" w:eastAsia="zh-CN" w:bidi="ar"/>
        </w:rPr>
        <w:t>向广州市人民政府（地址：越秀区小北路</w:t>
      </w:r>
      <w:r>
        <w:rPr>
          <w:rFonts w:hint="eastAsia" w:ascii="宋体" w:hAnsi="宋体" w:eastAsia="宋体" w:cs="宋体"/>
          <w:i w:val="0"/>
          <w:caps w:val="0"/>
          <w:color w:val="000000"/>
          <w:spacing w:val="0"/>
          <w:kern w:val="0"/>
          <w:sz w:val="32"/>
          <w:szCs w:val="32"/>
          <w:shd w:val="clear" w:fill="FFFFFF"/>
          <w:lang w:val="en-US" w:eastAsia="zh-CN" w:bidi="ar"/>
        </w:rPr>
        <w:t>183</w:t>
      </w:r>
      <w:r>
        <w:rPr>
          <w:rFonts w:hint="eastAsia" w:ascii="仿宋_GB2312" w:hAnsi="宋体" w:eastAsia="仿宋_GB2312" w:cs="仿宋_GB2312"/>
          <w:i w:val="0"/>
          <w:caps w:val="0"/>
          <w:color w:val="000000"/>
          <w:spacing w:val="0"/>
          <w:kern w:val="0"/>
          <w:sz w:val="32"/>
          <w:szCs w:val="32"/>
          <w:shd w:val="clear" w:fill="FFFFFF"/>
          <w:lang w:val="en-US" w:eastAsia="zh-CN" w:bidi="ar"/>
        </w:rPr>
        <w:t>号金和大厦</w:t>
      </w:r>
      <w:r>
        <w:rPr>
          <w:rFonts w:hint="eastAsia" w:ascii="宋体" w:hAnsi="宋体" w:eastAsia="宋体" w:cs="宋体"/>
          <w:i w:val="0"/>
          <w:caps w:val="0"/>
          <w:color w:val="000000"/>
          <w:spacing w:val="0"/>
          <w:kern w:val="0"/>
          <w:sz w:val="32"/>
          <w:szCs w:val="32"/>
          <w:shd w:val="clear" w:fill="FFFFFF"/>
          <w:lang w:val="en-US" w:eastAsia="zh-CN" w:bidi="ar"/>
        </w:rPr>
        <w:t>2</w:t>
      </w:r>
      <w:r>
        <w:rPr>
          <w:rFonts w:hint="eastAsia" w:ascii="仿宋_GB2312" w:hAnsi="宋体" w:eastAsia="仿宋_GB2312" w:cs="仿宋_GB2312"/>
          <w:i w:val="0"/>
          <w:caps w:val="0"/>
          <w:color w:val="000000"/>
          <w:spacing w:val="0"/>
          <w:kern w:val="0"/>
          <w:sz w:val="32"/>
          <w:szCs w:val="32"/>
          <w:shd w:val="clear" w:fill="FFFFFF"/>
          <w:lang w:val="en-US" w:eastAsia="zh-CN" w:bidi="ar"/>
        </w:rPr>
        <w:t>楼，电话：</w:t>
      </w:r>
      <w:r>
        <w:rPr>
          <w:rFonts w:hint="eastAsia" w:ascii="宋体" w:hAnsi="宋体" w:eastAsia="宋体" w:cs="宋体"/>
          <w:i w:val="0"/>
          <w:caps w:val="0"/>
          <w:color w:val="000000"/>
          <w:spacing w:val="0"/>
          <w:kern w:val="0"/>
          <w:sz w:val="32"/>
          <w:szCs w:val="32"/>
          <w:shd w:val="clear" w:fill="FFFFFF"/>
          <w:lang w:val="en-US" w:eastAsia="zh-CN" w:bidi="ar"/>
        </w:rPr>
        <w:t>83555988</w:t>
      </w:r>
      <w:r>
        <w:rPr>
          <w:rFonts w:hint="eastAsia" w:ascii="仿宋_GB2312" w:hAnsi="宋体" w:eastAsia="仿宋_GB2312" w:cs="仿宋_GB2312"/>
          <w:i w:val="0"/>
          <w:caps w:val="0"/>
          <w:color w:val="000000"/>
          <w:spacing w:val="0"/>
          <w:kern w:val="0"/>
          <w:sz w:val="32"/>
          <w:szCs w:val="32"/>
          <w:shd w:val="clear" w:fill="FFFFFF"/>
          <w:lang w:val="en-US" w:eastAsia="zh-CN" w:bidi="ar"/>
        </w:rPr>
        <w:t>）或广东省环境保护厅（地址：天河区龙口西路</w:t>
      </w:r>
      <w:r>
        <w:rPr>
          <w:rFonts w:hint="eastAsia" w:ascii="宋体" w:hAnsi="宋体" w:eastAsia="宋体" w:cs="宋体"/>
          <w:i w:val="0"/>
          <w:caps w:val="0"/>
          <w:color w:val="000000"/>
          <w:spacing w:val="0"/>
          <w:kern w:val="0"/>
          <w:sz w:val="32"/>
          <w:szCs w:val="32"/>
          <w:shd w:val="clear" w:fill="FFFFFF"/>
          <w:lang w:val="en-US" w:eastAsia="zh-CN" w:bidi="ar"/>
        </w:rPr>
        <w:t>213</w:t>
      </w:r>
      <w:r>
        <w:rPr>
          <w:rFonts w:hint="eastAsia" w:ascii="仿宋_GB2312" w:hAnsi="宋体" w:eastAsia="仿宋_GB2312" w:cs="仿宋_GB2312"/>
          <w:i w:val="0"/>
          <w:caps w:val="0"/>
          <w:color w:val="000000"/>
          <w:spacing w:val="0"/>
          <w:kern w:val="0"/>
          <w:sz w:val="32"/>
          <w:szCs w:val="32"/>
          <w:shd w:val="clear" w:fill="FFFFFF"/>
          <w:lang w:val="en-US" w:eastAsia="zh-CN" w:bidi="ar"/>
        </w:rPr>
        <w:t>号，电话：</w:t>
      </w:r>
      <w:r>
        <w:rPr>
          <w:rFonts w:hint="eastAsia" w:ascii="宋体" w:hAnsi="宋体" w:eastAsia="宋体" w:cs="宋体"/>
          <w:i w:val="0"/>
          <w:caps w:val="0"/>
          <w:color w:val="000000"/>
          <w:spacing w:val="0"/>
          <w:kern w:val="0"/>
          <w:sz w:val="32"/>
          <w:szCs w:val="32"/>
          <w:shd w:val="clear" w:fill="FFFFFF"/>
          <w:lang w:val="en-US" w:eastAsia="zh-CN" w:bidi="ar"/>
        </w:rPr>
        <w:t>87533928</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87531656</w:t>
      </w:r>
      <w:r>
        <w:rPr>
          <w:rFonts w:hint="eastAsia" w:ascii="仿宋_GB2312" w:hAnsi="宋体" w:eastAsia="仿宋_GB2312" w:cs="仿宋_GB2312"/>
          <w:i w:val="0"/>
          <w:caps w:val="0"/>
          <w:color w:val="000000"/>
          <w:spacing w:val="0"/>
          <w:kern w:val="0"/>
          <w:sz w:val="32"/>
          <w:szCs w:val="32"/>
          <w:shd w:val="clear" w:fill="FFFFFF"/>
          <w:lang w:val="en-US" w:eastAsia="zh-CN" w:bidi="ar"/>
        </w:rPr>
        <w:t>）提出行政复议申请，或在</w:t>
      </w:r>
      <w:r>
        <w:rPr>
          <w:rFonts w:hint="eastAsia" w:ascii="宋体" w:hAnsi="宋体" w:eastAsia="宋体" w:cs="宋体"/>
          <w:i w:val="0"/>
          <w:caps w:val="0"/>
          <w:color w:val="000000"/>
          <w:spacing w:val="0"/>
          <w:kern w:val="0"/>
          <w:sz w:val="32"/>
          <w:szCs w:val="32"/>
          <w:shd w:val="clear" w:fill="FFFFFF"/>
          <w:lang w:val="en-US" w:eastAsia="zh-CN" w:bidi="ar"/>
        </w:rPr>
        <w:t>6</w:t>
      </w:r>
      <w:r>
        <w:rPr>
          <w:rFonts w:hint="eastAsia" w:ascii="仿宋_GB2312" w:hAnsi="宋体" w:eastAsia="仿宋_GB2312" w:cs="仿宋_GB2312"/>
          <w:i w:val="0"/>
          <w:caps w:val="0"/>
          <w:color w:val="000000"/>
          <w:spacing w:val="0"/>
          <w:kern w:val="0"/>
          <w:sz w:val="32"/>
          <w:szCs w:val="32"/>
          <w:shd w:val="clear" w:fill="FFFFFF"/>
          <w:lang w:val="en-US" w:eastAsia="zh-CN" w:bidi="ar"/>
        </w:rPr>
        <w:t>个月内直接向有管辖权的人民法院提起行政诉讼。行政复议、行政诉讼期间内，不得停止本决定的履行。</w:t>
      </w:r>
    </w:p>
    <w:p>
      <w:pPr>
        <w:keepNext w:val="0"/>
        <w:keepLines w:val="0"/>
        <w:widowControl/>
        <w:suppressLineNumbers w:val="0"/>
        <w:spacing w:before="45" w:beforeAutospacing="0" w:after="45" w:afterAutospacing="0" w:line="56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逾期不履行本处罚决定，我局将申请人民法院强制执行，并按罚款额每日加处百分之三罚款。</w:t>
      </w:r>
    </w:p>
    <w:p>
      <w:pPr>
        <w:keepNext w:val="0"/>
        <w:keepLines w:val="0"/>
        <w:widowControl/>
        <w:suppressLineNumbers w:val="0"/>
        <w:spacing w:before="45" w:beforeAutospacing="0" w:after="45" w:afterAutospacing="0" w:line="560" w:lineRule="atLeast"/>
        <w:ind w:left="75" w:right="75"/>
        <w:jc w:val="left"/>
        <w:rPr>
          <w:sz w:val="21"/>
          <w:szCs w:val="21"/>
        </w:rPr>
      </w:pPr>
      <w:r>
        <w:rPr>
          <w:rFonts w:hint="eastAsia" w:ascii="宋体" w:hAnsi="宋体" w:eastAsia="宋体" w:cs="宋体"/>
          <w:i w:val="0"/>
          <w:caps w:val="0"/>
          <w:color w:val="000000"/>
          <w:spacing w:val="0"/>
          <w:kern w:val="0"/>
          <w:sz w:val="32"/>
          <w:szCs w:val="32"/>
          <w:shd w:val="clear" w:fill="FFFFFF"/>
          <w:lang w:val="en-US" w:eastAsia="zh-CN" w:bidi="ar"/>
        </w:rPr>
        <w:t> </w:t>
      </w:r>
    </w:p>
    <w:p>
      <w:pPr>
        <w:keepNext w:val="0"/>
        <w:keepLines w:val="0"/>
        <w:widowControl/>
        <w:suppressLineNumbers w:val="0"/>
        <w:wordWrap w:val="0"/>
        <w:spacing w:before="45" w:beforeAutospacing="0" w:after="45" w:afterAutospacing="0" w:line="560" w:lineRule="atLeast"/>
        <w:ind w:left="75" w:right="968"/>
        <w:jc w:val="right"/>
        <w:rPr>
          <w:sz w:val="21"/>
          <w:szCs w:val="21"/>
        </w:rPr>
      </w:pPr>
      <w:r>
        <w:rPr>
          <w:rFonts w:hint="eastAsia" w:ascii="宋体" w:hAnsi="宋体" w:eastAsia="宋体" w:cs="宋体"/>
          <w:i w:val="0"/>
          <w:caps w:val="0"/>
          <w:color w:val="000000"/>
          <w:spacing w:val="0"/>
          <w:kern w:val="0"/>
          <w:sz w:val="21"/>
          <w:szCs w:val="21"/>
          <w:shd w:val="clear" w:fill="FFFFFF"/>
          <w:lang w:val="en-US" w:eastAsia="zh-CN" w:bidi="ar"/>
        </w:rPr>
        <w:t> </w:t>
      </w:r>
    </w:p>
    <w:p>
      <w:pPr>
        <w:keepNext w:val="0"/>
        <w:keepLines w:val="0"/>
        <w:widowControl/>
        <w:suppressLineNumbers w:val="0"/>
        <w:wordWrap w:val="0"/>
        <w:spacing w:before="45" w:beforeAutospacing="0" w:after="45" w:afterAutospacing="0" w:line="560" w:lineRule="atLeast"/>
        <w:ind w:left="75" w:right="968"/>
        <w:jc w:val="righ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广州市环境保护局</w:t>
      </w:r>
    </w:p>
    <w:p>
      <w:pPr>
        <w:keepNext w:val="0"/>
        <w:keepLines w:val="0"/>
        <w:widowControl/>
        <w:suppressLineNumbers w:val="0"/>
        <w:wordWrap w:val="0"/>
        <w:spacing w:before="45" w:beforeAutospacing="0" w:after="45" w:afterAutospacing="0" w:line="560" w:lineRule="atLeast"/>
        <w:ind w:left="75" w:right="968"/>
        <w:jc w:val="right"/>
        <w:rPr>
          <w:sz w:val="21"/>
          <w:szCs w:val="21"/>
        </w:rPr>
      </w:pPr>
      <w:r>
        <w:rPr>
          <w:rFonts w:hint="eastAsia" w:ascii="宋体" w:hAnsi="宋体" w:eastAsia="宋体" w:cs="宋体"/>
          <w:i w:val="0"/>
          <w:caps w:val="0"/>
          <w:color w:val="000000"/>
          <w:spacing w:val="0"/>
          <w:kern w:val="0"/>
          <w:sz w:val="32"/>
          <w:szCs w:val="32"/>
          <w:shd w:val="clear" w:fill="FFFFFF"/>
          <w:lang w:val="en-US" w:eastAsia="zh-CN" w:bidi="ar"/>
        </w:rPr>
        <w:t>2018</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1</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3</w:t>
      </w:r>
      <w:r>
        <w:rPr>
          <w:rFonts w:hint="eastAsia" w:ascii="仿宋_GB2312" w:hAnsi="宋体" w:eastAsia="仿宋_GB2312" w:cs="仿宋_GB2312"/>
          <w:i w:val="0"/>
          <w:caps w:val="0"/>
          <w:color w:val="000000"/>
          <w:spacing w:val="0"/>
          <w:kern w:val="0"/>
          <w:sz w:val="32"/>
          <w:szCs w:val="32"/>
          <w:shd w:val="clear" w:fill="FFFFFF"/>
          <w:lang w:val="en-US" w:eastAsia="zh-CN" w:bidi="ar"/>
        </w:rPr>
        <w:t>日</w:t>
      </w:r>
      <w:r>
        <w:rPr>
          <w:rFonts w:hint="eastAsia" w:ascii="宋体" w:hAnsi="宋体" w:eastAsia="宋体" w:cs="宋体"/>
          <w:i w:val="0"/>
          <w:caps w:val="0"/>
          <w:color w:val="000000"/>
          <w:spacing w:val="0"/>
          <w:kern w:val="0"/>
          <w:sz w:val="32"/>
          <w:szCs w:val="32"/>
          <w:shd w:val="clear" w:fill="FFFFFF"/>
          <w:lang w:val="en-US" w:eastAsia="zh-CN" w:bidi="ar"/>
        </w:rPr>
        <w:t> </w:t>
      </w:r>
    </w:p>
    <w:p>
      <w:pPr>
        <w:pStyle w:val="2"/>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pacing w:before="45" w:beforeAutospacing="0" w:after="45" w:afterAutospacing="0" w:line="27" w:lineRule="atLeast"/>
        <w:ind w:left="75" w:right="75"/>
        <w:jc w:val="left"/>
        <w:rPr>
          <w:sz w:val="21"/>
          <w:szCs w:val="21"/>
        </w:rPr>
      </w:pPr>
      <w:r>
        <w:rPr>
          <w:rFonts w:hint="eastAsia" w:ascii="仿宋_GB2312" w:hAnsi="宋体" w:eastAsia="仿宋_GB2312" w:cs="仿宋_GB2312"/>
          <w:i w:val="0"/>
          <w:caps w:val="0"/>
          <w:color w:val="000000"/>
          <w:spacing w:val="0"/>
          <w:sz w:val="28"/>
          <w:szCs w:val="28"/>
          <w:shd w:val="clear" w:fill="FFFFFF"/>
        </w:rPr>
        <w:t>  抄送：局污防处、执法监察支队，南沙区环保水务局。</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0836D8"/>
    <w:rsid w:val="1E534EE2"/>
    <w:rsid w:val="2D2D2E0D"/>
    <w:rsid w:val="2E0836D8"/>
    <w:rsid w:val="3D6A1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2019-01-28T02:17:00Z</dcterms:created>
  <dc:creator>黄文宇</dc:creator>
  <cp:lastModifiedBy>黄文宇</cp:lastModifiedBy>
  <dcterms:modified xsi:type="dcterms:W3CDTF">2019-01-28T02:34:10Z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