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eastAsia="宋体" w:cs="宋体"/>
          <w:i w:val="0"/>
          <w:caps w:val="0"/>
          <w:color w:val="000000"/>
          <w:spacing w:val="0"/>
          <w:kern w:val="0"/>
          <w:sz w:val="21"/>
          <w:szCs w:val="21"/>
          <w:shd w:val="clear" w:fill="FFFFFF"/>
          <w:lang w:val="en-US" w:eastAsia="zh-CN" w:bidi="ar"/>
        </w:rPr>
        <w:t> </w:t>
      </w:r>
      <w:r>
        <w:rPr>
          <w:rFonts w:hint="eastAsia" w:ascii="方正小标宋简体" w:hAnsi="方正小标宋简体" w:eastAsia="方正小标宋简体" w:cs="方正小标宋简体"/>
          <w:i w:val="0"/>
          <w:caps w:val="0"/>
          <w:color w:val="000000"/>
          <w:spacing w:val="0"/>
          <w:kern w:val="0"/>
          <w:sz w:val="32"/>
          <w:szCs w:val="32"/>
          <w:shd w:val="clear" w:fill="FFFFFF"/>
          <w:lang w:val="en-US" w:eastAsia="zh-CN" w:bidi="ar"/>
        </w:rPr>
        <w:t>穗环法罚〔2018〕16号</w:t>
      </w:r>
    </w:p>
    <w:p>
      <w:pPr>
        <w:keepNext w:val="0"/>
        <w:keepLines w:val="0"/>
        <w:widowControl/>
        <w:suppressLineNumbers w:val="0"/>
        <w:shd w:val="clear" w:fill="FFFFFF"/>
        <w:wordWrap w:val="0"/>
        <w:spacing w:before="45" w:beforeAutospacing="0" w:after="45" w:afterAutospacing="0" w:line="27" w:lineRule="atLeast"/>
        <w:ind w:left="150" w:right="150" w:firstLine="0"/>
        <w:jc w:val="center"/>
        <w:rPr>
          <w:rFonts w:hint="eastAsia" w:ascii="宋体" w:hAnsi="宋体" w:eastAsia="宋体" w:cs="宋体"/>
          <w:i w:val="0"/>
          <w:caps w:val="0"/>
          <w:color w:val="000000"/>
          <w:spacing w:val="0"/>
          <w:sz w:val="21"/>
          <w:szCs w:val="21"/>
        </w:rPr>
      </w:pPr>
    </w:p>
    <w:tbl>
      <w:tblPr>
        <w:tblW w:w="8535" w:type="dxa"/>
        <w:jc w:val="center"/>
        <w:tblInd w:w="-6" w:type="dxa"/>
        <w:shd w:val="clear"/>
        <w:tblLayout w:type="fixed"/>
        <w:tblCellMar>
          <w:top w:w="0" w:type="dxa"/>
          <w:left w:w="0" w:type="dxa"/>
          <w:bottom w:w="0" w:type="dxa"/>
          <w:right w:w="0" w:type="dxa"/>
        </w:tblCellMar>
      </w:tblPr>
      <w:tblGrid>
        <w:gridCol w:w="1954"/>
        <w:gridCol w:w="2256"/>
        <w:gridCol w:w="1126"/>
        <w:gridCol w:w="935"/>
        <w:gridCol w:w="870"/>
        <w:gridCol w:w="1394"/>
      </w:tblGrid>
      <w:tr>
        <w:tblPrEx>
          <w:shd w:val="clear"/>
          <w:tblLayout w:type="fixed"/>
          <w:tblCellMar>
            <w:top w:w="0" w:type="dxa"/>
            <w:left w:w="0" w:type="dxa"/>
            <w:bottom w:w="0" w:type="dxa"/>
            <w:right w:w="0" w:type="dxa"/>
          </w:tblCellMar>
        </w:tblPrEx>
        <w:trPr>
          <w:trHeight w:val="285" w:hRule="atLeast"/>
          <w:jc w:val="center"/>
        </w:trPr>
        <w:tc>
          <w:tcPr>
            <w:tcW w:w="195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行政处罚决定文书号:</w:t>
            </w:r>
          </w:p>
        </w:tc>
        <w:tc>
          <w:tcPr>
            <w:tcW w:w="6581" w:type="dxa"/>
            <w:gridSpan w:val="5"/>
            <w:tcBorders>
              <w:top w:val="single" w:color="auto" w:sz="8" w:space="0"/>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穗环法罚〔2018〕16号</w:t>
            </w:r>
          </w:p>
        </w:tc>
      </w:tr>
      <w:tr>
        <w:tblPrEx>
          <w:shd w:val="clear"/>
          <w:tblLayout w:type="fixed"/>
          <w:tblCellMar>
            <w:top w:w="0" w:type="dxa"/>
            <w:left w:w="0" w:type="dxa"/>
            <w:bottom w:w="0" w:type="dxa"/>
            <w:right w:w="0" w:type="dxa"/>
          </w:tblCellMar>
        </w:tblPrEx>
        <w:trPr>
          <w:trHeight w:val="285" w:hRule="atLeast"/>
          <w:jc w:val="center"/>
        </w:trPr>
        <w:tc>
          <w:tcPr>
            <w:tcW w:w="195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处罚名称:</w:t>
            </w:r>
          </w:p>
        </w:tc>
        <w:tc>
          <w:tcPr>
            <w:tcW w:w="6581"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广州博奥皮具有限公司行政处罚案</w:t>
            </w:r>
          </w:p>
        </w:tc>
      </w:tr>
      <w:tr>
        <w:tblPrEx>
          <w:shd w:val="clear"/>
          <w:tblLayout w:type="fixed"/>
          <w:tblCellMar>
            <w:top w:w="0" w:type="dxa"/>
            <w:left w:w="0" w:type="dxa"/>
            <w:bottom w:w="0" w:type="dxa"/>
            <w:right w:w="0" w:type="dxa"/>
          </w:tblCellMar>
        </w:tblPrEx>
        <w:trPr>
          <w:trHeight w:val="285" w:hRule="atLeast"/>
          <w:jc w:val="center"/>
        </w:trPr>
        <w:tc>
          <w:tcPr>
            <w:tcW w:w="1954"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处罚类别:</w:t>
            </w:r>
          </w:p>
        </w:tc>
        <w:tc>
          <w:tcPr>
            <w:tcW w:w="6581"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罚款</w:t>
            </w:r>
          </w:p>
        </w:tc>
      </w:tr>
      <w:tr>
        <w:tblPrEx>
          <w:tblLayout w:type="fixed"/>
          <w:tblCellMar>
            <w:top w:w="0" w:type="dxa"/>
            <w:left w:w="0" w:type="dxa"/>
            <w:bottom w:w="0" w:type="dxa"/>
            <w:right w:w="0" w:type="dxa"/>
          </w:tblCellMar>
        </w:tblPrEx>
        <w:trPr>
          <w:trHeight w:val="276" w:hRule="atLeast"/>
          <w:jc w:val="center"/>
        </w:trPr>
        <w:tc>
          <w:tcPr>
            <w:tcW w:w="195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处罚事由:</w:t>
            </w:r>
          </w:p>
        </w:tc>
        <w:tc>
          <w:tcPr>
            <w:tcW w:w="6581" w:type="dxa"/>
            <w:gridSpan w:val="5"/>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经我局执法监察支队2017年12月5日、6日调查显示，当事人部分废染料桶、废树脂桶、废油漆桶等危险废物（均为HW49）和沾染危险废物的废编织袋、废塑料膜和纸皮等在厂区露天堆放，未及时收集贮存；废润滑油（HW08）贮存场所地面无防渗措施，未设置废水导排管道或渠道及泄露液体收集设施；使用部分废树脂桶（HW49）等危险废物盛装生活垃圾和一般工业固体废物，危险废物和一般固废混合堆放。</w:t>
            </w:r>
          </w:p>
        </w:tc>
      </w:tr>
      <w:tr>
        <w:tblPrEx>
          <w:shd w:val="clear"/>
          <w:tblLayout w:type="fixed"/>
          <w:tblCellMar>
            <w:top w:w="0" w:type="dxa"/>
            <w:left w:w="0" w:type="dxa"/>
            <w:bottom w:w="0" w:type="dxa"/>
            <w:right w:w="0" w:type="dxa"/>
          </w:tblCellMar>
        </w:tblPrEx>
        <w:trPr>
          <w:trHeight w:val="347" w:hRule="atLeast"/>
          <w:jc w:val="center"/>
        </w:trPr>
        <w:tc>
          <w:tcPr>
            <w:tcW w:w="195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处罚依据:</w:t>
            </w:r>
          </w:p>
        </w:tc>
        <w:tc>
          <w:tcPr>
            <w:tcW w:w="6581"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依据《中华人民共和国行政处罚法》第二十三条、《中华人民共和国固体废物污染环境防治法》第七十五条第一款第（七）、（十）项、第二款及《广东省环境保护厅环境行政处罚自由裁量权裁量标准（试行）》§12.4.3第5项、§12.4.6第4项</w:t>
            </w:r>
          </w:p>
        </w:tc>
      </w:tr>
      <w:tr>
        <w:tblPrEx>
          <w:tblLayout w:type="fixed"/>
          <w:tblCellMar>
            <w:top w:w="0" w:type="dxa"/>
            <w:left w:w="0" w:type="dxa"/>
            <w:bottom w:w="0" w:type="dxa"/>
            <w:right w:w="0" w:type="dxa"/>
          </w:tblCellMar>
        </w:tblPrEx>
        <w:trPr>
          <w:trHeight w:val="285" w:hRule="atLeast"/>
          <w:jc w:val="center"/>
        </w:trPr>
        <w:tc>
          <w:tcPr>
            <w:tcW w:w="195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处罚结果:</w:t>
            </w:r>
          </w:p>
        </w:tc>
        <w:tc>
          <w:tcPr>
            <w:tcW w:w="6581"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责令当事人立即改正违法行为，并处罚款8万元。</w:t>
            </w:r>
          </w:p>
        </w:tc>
      </w:tr>
      <w:tr>
        <w:tblPrEx>
          <w:shd w:val="clear"/>
          <w:tblLayout w:type="fixed"/>
          <w:tblCellMar>
            <w:top w:w="0" w:type="dxa"/>
            <w:left w:w="0" w:type="dxa"/>
            <w:bottom w:w="0" w:type="dxa"/>
            <w:right w:w="0" w:type="dxa"/>
          </w:tblCellMar>
        </w:tblPrEx>
        <w:trPr>
          <w:trHeight w:val="285" w:hRule="atLeast"/>
          <w:jc w:val="center"/>
        </w:trPr>
        <w:tc>
          <w:tcPr>
            <w:tcW w:w="1954"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行政相对人名称:</w:t>
            </w:r>
          </w:p>
        </w:tc>
        <w:tc>
          <w:tcPr>
            <w:tcW w:w="6581"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广州博奥皮具有限公司</w:t>
            </w:r>
          </w:p>
        </w:tc>
      </w:tr>
      <w:tr>
        <w:tblPrEx>
          <w:tblLayout w:type="fixed"/>
          <w:tblCellMar>
            <w:top w:w="0" w:type="dxa"/>
            <w:left w:w="0" w:type="dxa"/>
            <w:bottom w:w="0" w:type="dxa"/>
            <w:right w:w="0" w:type="dxa"/>
          </w:tblCellMar>
        </w:tblPrEx>
        <w:trPr>
          <w:trHeight w:val="547" w:hRule="atLeast"/>
          <w:jc w:val="center"/>
        </w:trPr>
        <w:tc>
          <w:tcPr>
            <w:tcW w:w="1954" w:type="dxa"/>
            <w:vMerge w:val="restart"/>
            <w:tcBorders>
              <w:top w:val="nil"/>
              <w:left w:val="single" w:color="auto" w:sz="8" w:space="0"/>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行政相对人代码:</w:t>
            </w:r>
          </w:p>
        </w:tc>
        <w:tc>
          <w:tcPr>
            <w:tcW w:w="22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统一社会信用代码</w:t>
            </w:r>
          </w:p>
        </w:tc>
        <w:tc>
          <w:tcPr>
            <w:tcW w:w="112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组织机构代码</w:t>
            </w:r>
          </w:p>
        </w:tc>
        <w:tc>
          <w:tcPr>
            <w:tcW w:w="935"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工商登记码</w:t>
            </w:r>
          </w:p>
        </w:tc>
        <w:tc>
          <w:tcPr>
            <w:tcW w:w="870"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税务登记号</w:t>
            </w:r>
          </w:p>
        </w:tc>
        <w:tc>
          <w:tcPr>
            <w:tcW w:w="1394"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居民身份证号码</w:t>
            </w:r>
          </w:p>
        </w:tc>
      </w:tr>
      <w:tr>
        <w:tblPrEx>
          <w:shd w:val="clear"/>
          <w:tblLayout w:type="fixed"/>
          <w:tblCellMar>
            <w:top w:w="0" w:type="dxa"/>
            <w:left w:w="0" w:type="dxa"/>
            <w:bottom w:w="0" w:type="dxa"/>
            <w:right w:w="0" w:type="dxa"/>
          </w:tblCellMar>
        </w:tblPrEx>
        <w:trPr>
          <w:trHeight w:val="371" w:hRule="atLeast"/>
          <w:jc w:val="center"/>
        </w:trPr>
        <w:tc>
          <w:tcPr>
            <w:tcW w:w="1954"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sz w:val="21"/>
                <w:szCs w:val="21"/>
              </w:rPr>
            </w:pPr>
          </w:p>
        </w:tc>
        <w:tc>
          <w:tcPr>
            <w:tcW w:w="22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kern w:val="0"/>
                <w:sz w:val="21"/>
                <w:szCs w:val="21"/>
                <w:lang w:val="en-US" w:eastAsia="zh-CN" w:bidi="ar"/>
              </w:rPr>
              <w:t>91440115775667054T</w:t>
            </w:r>
          </w:p>
        </w:tc>
        <w:tc>
          <w:tcPr>
            <w:tcW w:w="112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 </w:t>
            </w:r>
          </w:p>
        </w:tc>
        <w:tc>
          <w:tcPr>
            <w:tcW w:w="935"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c>
          <w:tcPr>
            <w:tcW w:w="870"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c>
          <w:tcPr>
            <w:tcW w:w="1394"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285" w:hRule="atLeast"/>
          <w:jc w:val="center"/>
        </w:trPr>
        <w:tc>
          <w:tcPr>
            <w:tcW w:w="1954"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法人代表姓名:</w:t>
            </w:r>
          </w:p>
        </w:tc>
        <w:tc>
          <w:tcPr>
            <w:tcW w:w="6581"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吴建军</w:t>
            </w:r>
          </w:p>
        </w:tc>
      </w:tr>
      <w:tr>
        <w:tblPrEx>
          <w:shd w:val="clear"/>
          <w:tblLayout w:type="fixed"/>
          <w:tblCellMar>
            <w:top w:w="0" w:type="dxa"/>
            <w:left w:w="0" w:type="dxa"/>
            <w:bottom w:w="0" w:type="dxa"/>
            <w:right w:w="0" w:type="dxa"/>
          </w:tblCellMar>
        </w:tblPrEx>
        <w:trPr>
          <w:trHeight w:val="285" w:hRule="atLeast"/>
          <w:jc w:val="center"/>
        </w:trPr>
        <w:tc>
          <w:tcPr>
            <w:tcW w:w="1954"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处罚决定日期:</w:t>
            </w:r>
          </w:p>
        </w:tc>
        <w:tc>
          <w:tcPr>
            <w:tcW w:w="6581" w:type="dxa"/>
            <w:gridSpan w:val="5"/>
            <w:tcBorders>
              <w:top w:val="nil"/>
              <w:left w:val="nil"/>
              <w:bottom w:val="single" w:color="auto" w:sz="8" w:space="0"/>
              <w:right w:val="single" w:color="000000"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2018/4/25</w:t>
            </w:r>
          </w:p>
        </w:tc>
      </w:tr>
      <w:tr>
        <w:tblPrEx>
          <w:tblLayout w:type="fixed"/>
          <w:tblCellMar>
            <w:top w:w="0" w:type="dxa"/>
            <w:left w:w="0" w:type="dxa"/>
            <w:bottom w:w="0" w:type="dxa"/>
            <w:right w:w="0" w:type="dxa"/>
          </w:tblCellMar>
        </w:tblPrEx>
        <w:trPr>
          <w:trHeight w:val="285" w:hRule="atLeast"/>
          <w:jc w:val="center"/>
        </w:trPr>
        <w:tc>
          <w:tcPr>
            <w:tcW w:w="1954"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处罚机关:</w:t>
            </w:r>
          </w:p>
        </w:tc>
        <w:tc>
          <w:tcPr>
            <w:tcW w:w="6581"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0" w:lineRule="atLeast"/>
              <w:ind w:left="75" w:right="75"/>
              <w:jc w:val="left"/>
              <w:rPr>
                <w:sz w:val="21"/>
                <w:szCs w:val="21"/>
              </w:rPr>
            </w:pPr>
            <w:r>
              <w:rPr>
                <w:rFonts w:hint="eastAsia" w:ascii="宋体" w:hAnsi="宋体" w:eastAsia="宋体" w:cs="宋体"/>
                <w:color w:val="000000"/>
                <w:kern w:val="0"/>
                <w:sz w:val="21"/>
                <w:szCs w:val="21"/>
                <w:lang w:val="en-US" w:eastAsia="zh-CN" w:bidi="ar"/>
              </w:rPr>
              <w:t>广州市环境保护局</w:t>
            </w:r>
          </w:p>
        </w:tc>
      </w:tr>
      <w:tr>
        <w:tblPrEx>
          <w:shd w:val="clear"/>
          <w:tblLayout w:type="fixed"/>
          <w:tblCellMar>
            <w:top w:w="0" w:type="dxa"/>
            <w:left w:w="0" w:type="dxa"/>
            <w:bottom w:w="0" w:type="dxa"/>
            <w:right w:w="0" w:type="dxa"/>
          </w:tblCellMar>
        </w:tblPrEx>
        <w:trPr>
          <w:trHeight w:val="285" w:hRule="atLeast"/>
          <w:jc w:val="center"/>
        </w:trPr>
        <w:tc>
          <w:tcPr>
            <w:tcW w:w="1954"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地方编码:</w:t>
            </w:r>
          </w:p>
        </w:tc>
        <w:tc>
          <w:tcPr>
            <w:tcW w:w="6581" w:type="dxa"/>
            <w:gridSpan w:val="5"/>
            <w:tcBorders>
              <w:top w:val="nil"/>
              <w:left w:val="nil"/>
              <w:bottom w:val="single" w:color="auto" w:sz="8" w:space="0"/>
              <w:right w:val="single" w:color="000000"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400100</w:t>
            </w:r>
          </w:p>
        </w:tc>
      </w:tr>
      <w:tr>
        <w:tblPrEx>
          <w:tblLayout w:type="fixed"/>
          <w:tblCellMar>
            <w:top w:w="0" w:type="dxa"/>
            <w:left w:w="0" w:type="dxa"/>
            <w:bottom w:w="0" w:type="dxa"/>
            <w:right w:w="0" w:type="dxa"/>
          </w:tblCellMar>
        </w:tblPrEx>
        <w:trPr>
          <w:trHeight w:val="285" w:hRule="atLeast"/>
          <w:jc w:val="center"/>
        </w:trPr>
        <w:tc>
          <w:tcPr>
            <w:tcW w:w="1954"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当前状态:</w:t>
            </w:r>
          </w:p>
        </w:tc>
        <w:tc>
          <w:tcPr>
            <w:tcW w:w="6581"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正常</w:t>
            </w:r>
          </w:p>
        </w:tc>
      </w:tr>
      <w:tr>
        <w:tblPrEx>
          <w:shd w:val="clear"/>
          <w:tblLayout w:type="fixed"/>
          <w:tblCellMar>
            <w:top w:w="0" w:type="dxa"/>
            <w:left w:w="0" w:type="dxa"/>
            <w:bottom w:w="0" w:type="dxa"/>
            <w:right w:w="0" w:type="dxa"/>
          </w:tblCellMar>
        </w:tblPrEx>
        <w:trPr>
          <w:trHeight w:val="285" w:hRule="atLeast"/>
          <w:jc w:val="center"/>
        </w:trPr>
        <w:tc>
          <w:tcPr>
            <w:tcW w:w="1954"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数据更新时间戳:</w:t>
            </w:r>
          </w:p>
        </w:tc>
        <w:tc>
          <w:tcPr>
            <w:tcW w:w="6581"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2018/4/25</w:t>
            </w:r>
          </w:p>
        </w:tc>
      </w:tr>
      <w:tr>
        <w:tblPrEx>
          <w:tblLayout w:type="fixed"/>
          <w:tblCellMar>
            <w:top w:w="0" w:type="dxa"/>
            <w:left w:w="0" w:type="dxa"/>
            <w:bottom w:w="0" w:type="dxa"/>
            <w:right w:w="0" w:type="dxa"/>
          </w:tblCellMar>
        </w:tblPrEx>
        <w:trPr>
          <w:trHeight w:val="285" w:hRule="atLeast"/>
          <w:jc w:val="center"/>
        </w:trPr>
        <w:tc>
          <w:tcPr>
            <w:tcW w:w="1954"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备注:</w:t>
            </w:r>
          </w:p>
        </w:tc>
        <w:tc>
          <w:tcPr>
            <w:tcW w:w="6581"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 </w:t>
            </w:r>
          </w:p>
        </w:tc>
      </w:tr>
    </w:tbl>
    <w:p>
      <w:pPr>
        <w:keepNext w:val="0"/>
        <w:keepLines w:val="0"/>
        <w:widowControl/>
        <w:suppressLineNumbers w:val="0"/>
        <w:shd w:val="clear" w:fill="FFFFFF"/>
        <w:spacing w:before="45" w:beforeAutospacing="0" w:after="45" w:afterAutospacing="0" w:line="560" w:lineRule="atLeast"/>
        <w:ind w:left="1280" w:right="75" w:hanging="128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shd w:val="clear" w:fill="FFFFFF"/>
          <w:lang w:val="en-US" w:eastAsia="zh-CN" w:bidi="ar"/>
        </w:rPr>
        <w:t> </w:t>
      </w:r>
    </w:p>
    <w:p>
      <w:pPr>
        <w:pStyle w:val="2"/>
        <w:keepNext w:val="0"/>
        <w:keepLines w:val="0"/>
        <w:widowControl/>
        <w:suppressLineNumbers w:val="0"/>
        <w:spacing w:before="45" w:beforeAutospacing="0" w:after="45" w:afterAutospacing="0" w:line="27" w:lineRule="atLeast"/>
        <w:ind w:left="75" w:right="75"/>
        <w:jc w:val="both"/>
        <w:rPr>
          <w:rStyle w:val="4"/>
          <w:rFonts w:ascii="仿宋_GB2312" w:eastAsia="仿宋_GB2312" w:cs="仿宋_GB2312"/>
          <w:i w:val="0"/>
          <w:caps w:val="0"/>
          <w:color w:val="000000"/>
          <w:spacing w:val="0"/>
          <w:sz w:val="32"/>
          <w:szCs w:val="32"/>
          <w:shd w:val="clear" w:fill="FFFFFF"/>
        </w:rPr>
      </w:pPr>
    </w:p>
    <w:p>
      <w:pPr>
        <w:pStyle w:val="2"/>
        <w:keepNext w:val="0"/>
        <w:keepLines w:val="0"/>
        <w:widowControl/>
        <w:suppressLineNumbers w:val="0"/>
        <w:spacing w:before="45" w:beforeAutospacing="0" w:after="45" w:afterAutospacing="0" w:line="27" w:lineRule="atLeast"/>
        <w:ind w:left="75" w:right="75"/>
        <w:jc w:val="both"/>
        <w:rPr>
          <w:sz w:val="21"/>
          <w:szCs w:val="21"/>
        </w:rPr>
      </w:pPr>
      <w:bookmarkStart w:id="0" w:name="_GoBack"/>
      <w:bookmarkEnd w:id="0"/>
      <w:r>
        <w:rPr>
          <w:rStyle w:val="4"/>
          <w:rFonts w:ascii="仿宋_GB2312" w:eastAsia="仿宋_GB2312" w:cs="仿宋_GB2312"/>
          <w:i w:val="0"/>
          <w:caps w:val="0"/>
          <w:color w:val="000000"/>
          <w:spacing w:val="0"/>
          <w:sz w:val="32"/>
          <w:szCs w:val="32"/>
          <w:shd w:val="clear" w:fill="FFFFFF"/>
        </w:rPr>
        <w:t>全文信息</w:t>
      </w:r>
      <w:r>
        <w:rPr>
          <w:rFonts w:hint="eastAsia" w:ascii="仿宋_GB2312" w:eastAsia="仿宋_GB2312" w:cs="仿宋_GB2312"/>
          <w:i w:val="0"/>
          <w:caps w:val="0"/>
          <w:color w:val="000000"/>
          <w:spacing w:val="0"/>
          <w:sz w:val="32"/>
          <w:szCs w:val="32"/>
          <w:shd w:val="clear" w:fill="FFFFFF"/>
        </w:rPr>
        <w:t> </w:t>
      </w:r>
      <w:r>
        <w:rPr>
          <w:rFonts w:hint="eastAsia" w:ascii="仿宋_GB2312" w:eastAsia="仿宋_GB2312" w:cs="仿宋_GB2312"/>
          <w:i w:val="0"/>
          <w:caps w:val="0"/>
          <w:color w:val="000000"/>
          <w:spacing w:val="0"/>
          <w:sz w:val="21"/>
          <w:szCs w:val="21"/>
          <w:shd w:val="clear" w:fill="FFFFFF"/>
        </w:rPr>
        <w:t> </w:t>
      </w:r>
    </w:p>
    <w:p>
      <w:pPr>
        <w:pStyle w:val="2"/>
        <w:keepNext w:val="0"/>
        <w:keepLines w:val="0"/>
        <w:widowControl/>
        <w:suppressLineNumbers w:val="0"/>
        <w:spacing w:before="45" w:beforeAutospacing="0" w:after="45" w:afterAutospacing="0" w:line="27" w:lineRule="atLeast"/>
        <w:ind w:left="75" w:right="75"/>
        <w:jc w:val="both"/>
        <w:rPr>
          <w:sz w:val="21"/>
          <w:szCs w:val="21"/>
        </w:rPr>
      </w:pPr>
      <w:r>
        <w:rPr>
          <w:rFonts w:hint="eastAsia" w:ascii="仿宋_GB2312" w:eastAsia="仿宋_GB2312" w:cs="仿宋_GB2312"/>
          <w:i w:val="0"/>
          <w:caps w:val="0"/>
          <w:color w:val="000000"/>
          <w:spacing w:val="0"/>
          <w:sz w:val="21"/>
          <w:szCs w:val="21"/>
          <w:shd w:val="clear" w:fill="FFFFFF"/>
        </w:rPr>
        <w:t> </w:t>
      </w:r>
    </w:p>
    <w:p>
      <w:pPr>
        <w:pStyle w:val="2"/>
        <w:keepNext w:val="0"/>
        <w:keepLines w:val="0"/>
        <w:widowControl/>
        <w:suppressLineNumbers w:val="0"/>
        <w:spacing w:before="45" w:beforeAutospacing="0" w:after="45" w:afterAutospacing="0" w:line="27" w:lineRule="atLeast"/>
        <w:ind w:left="75" w:right="75"/>
        <w:jc w:val="center"/>
        <w:rPr>
          <w:sz w:val="21"/>
          <w:szCs w:val="21"/>
        </w:rPr>
      </w:pPr>
      <w:r>
        <w:rPr>
          <w:rFonts w:hint="eastAsia" w:ascii="仿宋_GB2312" w:eastAsia="仿宋_GB2312" w:cs="仿宋_GB2312"/>
          <w:i w:val="0"/>
          <w:caps w:val="0"/>
          <w:color w:val="000000"/>
          <w:spacing w:val="0"/>
          <w:sz w:val="44"/>
          <w:szCs w:val="44"/>
          <w:shd w:val="clear" w:fill="FFFFFF"/>
        </w:rPr>
        <w:t>行政处罚决定书</w:t>
      </w:r>
      <w:r>
        <w:rPr>
          <w:rFonts w:hint="eastAsia" w:ascii="仿宋_GB2312" w:eastAsia="仿宋_GB2312" w:cs="仿宋_GB2312"/>
          <w:i w:val="0"/>
          <w:caps w:val="0"/>
          <w:color w:val="000000"/>
          <w:spacing w:val="0"/>
          <w:sz w:val="32"/>
          <w:szCs w:val="32"/>
          <w:shd w:val="clear" w:fill="FFFFFF"/>
        </w:rPr>
        <w:t>   </w:t>
      </w:r>
      <w:r>
        <w:rPr>
          <w:rFonts w:hint="eastAsia" w:ascii="仿宋_GB2312" w:eastAsia="仿宋_GB2312" w:cs="仿宋_GB2312"/>
          <w:i w:val="0"/>
          <w:caps w:val="0"/>
          <w:color w:val="000000"/>
          <w:spacing w:val="0"/>
          <w:sz w:val="21"/>
          <w:szCs w:val="21"/>
          <w:shd w:val="clear" w:fill="FFFFFF"/>
        </w:rPr>
        <w:t> </w:t>
      </w:r>
    </w:p>
    <w:p>
      <w:pPr>
        <w:pStyle w:val="2"/>
        <w:keepNext w:val="0"/>
        <w:keepLines w:val="0"/>
        <w:widowControl/>
        <w:suppressLineNumbers w:val="0"/>
        <w:spacing w:before="45" w:beforeAutospacing="0" w:after="45" w:afterAutospacing="0" w:line="27" w:lineRule="atLeast"/>
        <w:ind w:left="75" w:right="75"/>
        <w:jc w:val="center"/>
        <w:rPr>
          <w:sz w:val="21"/>
          <w:szCs w:val="21"/>
        </w:rPr>
      </w:pPr>
      <w:r>
        <w:rPr>
          <w:rFonts w:hint="eastAsia" w:ascii="仿宋_GB2312" w:eastAsia="仿宋_GB2312" w:cs="仿宋_GB2312"/>
          <w:i w:val="0"/>
          <w:caps w:val="0"/>
          <w:color w:val="000000"/>
          <w:spacing w:val="0"/>
          <w:sz w:val="32"/>
          <w:szCs w:val="32"/>
          <w:shd w:val="clear" w:fill="FFFFFF"/>
        </w:rPr>
        <w:t>穗环法罚〔2018〕16号 </w:t>
      </w:r>
    </w:p>
    <w:p>
      <w:pPr>
        <w:keepNext w:val="0"/>
        <w:keepLines w:val="0"/>
        <w:widowControl/>
        <w:suppressLineNumbers w:val="0"/>
        <w:spacing w:before="45" w:beforeAutospacing="0" w:after="45" w:afterAutospacing="0" w:line="560" w:lineRule="atLeast"/>
        <w:ind w:left="1280" w:right="75" w:hanging="1280"/>
        <w:jc w:val="left"/>
        <w:rPr>
          <w:sz w:val="21"/>
          <w:szCs w:val="21"/>
        </w:rPr>
      </w:pPr>
      <w:r>
        <w:rPr>
          <w:rFonts w:hint="eastAsia" w:ascii="仿宋_GB2312" w:eastAsia="仿宋_GB2312" w:cs="仿宋_GB2312" w:hAnsiTheme="minorHAnsi"/>
          <w:i w:val="0"/>
          <w:caps w:val="0"/>
          <w:color w:val="000000"/>
          <w:spacing w:val="0"/>
          <w:kern w:val="0"/>
          <w:sz w:val="21"/>
          <w:szCs w:val="21"/>
          <w:shd w:val="clear" w:fill="FFFFFF"/>
          <w:lang w:val="en-US" w:eastAsia="zh-CN" w:bidi="ar"/>
        </w:rPr>
        <w:t> </w:t>
      </w:r>
    </w:p>
    <w:p>
      <w:pPr>
        <w:keepNext w:val="0"/>
        <w:keepLines w:val="0"/>
        <w:widowControl/>
        <w:suppressLineNumbers w:val="0"/>
        <w:spacing w:before="45" w:beforeAutospacing="0" w:after="45" w:afterAutospacing="0" w:line="560" w:lineRule="atLeast"/>
        <w:ind w:left="1280" w:right="75" w:hanging="1280"/>
        <w:jc w:val="left"/>
        <w:rPr>
          <w:sz w:val="21"/>
          <w:szCs w:val="21"/>
        </w:rPr>
      </w:pPr>
      <w:r>
        <w:rPr>
          <w:rFonts w:hint="eastAsia" w:ascii="仿宋_GB2312" w:eastAsia="仿宋_GB2312" w:cs="仿宋_GB2312" w:hAnsiTheme="minorHAnsi"/>
          <w:i w:val="0"/>
          <w:caps w:val="0"/>
          <w:color w:val="000000"/>
          <w:spacing w:val="0"/>
          <w:kern w:val="0"/>
          <w:sz w:val="32"/>
          <w:szCs w:val="32"/>
          <w:shd w:val="clear" w:fill="FFFFFF"/>
          <w:lang w:val="en-US" w:eastAsia="zh-CN" w:bidi="ar"/>
        </w:rPr>
        <w:t>当事人：广州博奥皮具有限公司</w:t>
      </w:r>
    </w:p>
    <w:p>
      <w:pPr>
        <w:keepNext w:val="0"/>
        <w:keepLines w:val="0"/>
        <w:widowControl/>
        <w:suppressLineNumbers w:val="0"/>
        <w:spacing w:before="45" w:beforeAutospacing="0" w:after="45" w:afterAutospacing="0" w:line="560" w:lineRule="atLeast"/>
        <w:ind w:left="75" w:right="75"/>
        <w:jc w:val="left"/>
        <w:rPr>
          <w:sz w:val="21"/>
          <w:szCs w:val="21"/>
        </w:rPr>
      </w:pPr>
      <w:r>
        <w:rPr>
          <w:rFonts w:hint="eastAsia" w:ascii="仿宋_GB2312" w:eastAsia="仿宋_GB2312" w:cs="仿宋_GB2312" w:hAnsiTheme="minorHAnsi"/>
          <w:i w:val="0"/>
          <w:caps w:val="0"/>
          <w:color w:val="000000"/>
          <w:spacing w:val="0"/>
          <w:kern w:val="0"/>
          <w:sz w:val="32"/>
          <w:szCs w:val="32"/>
          <w:shd w:val="clear" w:fill="FFFFFF"/>
          <w:lang w:val="en-US" w:eastAsia="zh-CN" w:bidi="ar"/>
        </w:rPr>
        <w:t>统一社会信用代码：91440115775667054T</w:t>
      </w:r>
    </w:p>
    <w:p>
      <w:pPr>
        <w:keepNext w:val="0"/>
        <w:keepLines w:val="0"/>
        <w:widowControl/>
        <w:suppressLineNumbers w:val="0"/>
        <w:spacing w:before="45" w:beforeAutospacing="0" w:after="45" w:afterAutospacing="0" w:line="560" w:lineRule="atLeast"/>
        <w:ind w:left="75" w:right="75"/>
        <w:jc w:val="left"/>
        <w:rPr>
          <w:sz w:val="21"/>
          <w:szCs w:val="21"/>
        </w:rPr>
      </w:pPr>
      <w:r>
        <w:rPr>
          <w:rFonts w:hint="eastAsia" w:ascii="仿宋_GB2312" w:eastAsia="仿宋_GB2312" w:cs="仿宋_GB2312" w:hAnsiTheme="minorHAnsi"/>
          <w:i w:val="0"/>
          <w:caps w:val="0"/>
          <w:color w:val="000000"/>
          <w:spacing w:val="0"/>
          <w:kern w:val="0"/>
          <w:sz w:val="32"/>
          <w:szCs w:val="32"/>
          <w:shd w:val="clear" w:fill="FFFFFF"/>
          <w:lang w:val="en-US" w:eastAsia="zh-CN" w:bidi="ar"/>
        </w:rPr>
        <w:t>地</w:t>
      </w:r>
      <w:r>
        <w:rPr>
          <w:rFonts w:hint="eastAsia" w:ascii="仿宋_GB2312" w:eastAsia="仿宋_GB2312" w:cs="仿宋_GB2312" w:hAnsiTheme="minorHAnsi"/>
          <w:i w:val="0"/>
          <w:caps w:val="0"/>
          <w:color w:val="000000"/>
          <w:spacing w:val="0"/>
          <w:kern w:val="0"/>
          <w:sz w:val="21"/>
          <w:szCs w:val="21"/>
          <w:shd w:val="clear" w:fill="FFFFFF"/>
          <w:lang w:val="en-US" w:eastAsia="zh-CN" w:bidi="ar"/>
        </w:rPr>
        <w:t>  </w:t>
      </w:r>
      <w:r>
        <w:rPr>
          <w:rFonts w:hint="eastAsia" w:ascii="仿宋_GB2312" w:eastAsia="仿宋_GB2312" w:cs="仿宋_GB2312" w:hAnsiTheme="minorHAnsi"/>
          <w:i w:val="0"/>
          <w:caps w:val="0"/>
          <w:color w:val="000000"/>
          <w:spacing w:val="0"/>
          <w:kern w:val="0"/>
          <w:sz w:val="32"/>
          <w:szCs w:val="32"/>
          <w:shd w:val="clear" w:fill="FFFFFF"/>
          <w:lang w:val="en-US" w:eastAsia="zh-CN" w:bidi="ar"/>
        </w:rPr>
        <w:t>址：广州市南沙区横沥镇庙南村东新围东宝街27号</w:t>
      </w:r>
    </w:p>
    <w:p>
      <w:pPr>
        <w:keepNext w:val="0"/>
        <w:keepLines w:val="0"/>
        <w:widowControl/>
        <w:suppressLineNumbers w:val="0"/>
        <w:spacing w:before="45" w:beforeAutospacing="0" w:after="45" w:afterAutospacing="0" w:line="580" w:lineRule="atLeast"/>
        <w:ind w:left="75" w:right="75" w:firstLine="640"/>
        <w:jc w:val="left"/>
        <w:rPr>
          <w:sz w:val="21"/>
          <w:szCs w:val="21"/>
        </w:rPr>
      </w:pPr>
      <w:r>
        <w:rPr>
          <w:rFonts w:hint="eastAsia" w:ascii="仿宋_GB2312" w:eastAsia="仿宋_GB2312" w:cs="仿宋_GB2312" w:hAnsiTheme="minorHAnsi"/>
          <w:i w:val="0"/>
          <w:caps w:val="0"/>
          <w:color w:val="000000"/>
          <w:spacing w:val="0"/>
          <w:kern w:val="0"/>
          <w:sz w:val="32"/>
          <w:szCs w:val="32"/>
          <w:shd w:val="clear" w:fill="FFFFFF"/>
          <w:lang w:val="en-US" w:eastAsia="zh-CN" w:bidi="ar"/>
        </w:rPr>
        <w:t>经我局执法监察支队2017年12月5日、6日调查显示，当事人的部分废染料桶、废树脂桶、废油漆桶等危险废物（均为HW49）和沾染危险废物的废编织袋、废塑料膜和纸皮等在厂区露天堆放，未及时收集贮存；废润滑油（HW08）贮存场所地面无防渗措施，未设置废水导排管道或渠道及泄露液体收集设施；使用部分废树脂桶（HW49）等危险废物盛装生活垃圾和一般工业固体废物，危险废物和一般固废混合堆放。</w:t>
      </w:r>
    </w:p>
    <w:p>
      <w:pPr>
        <w:keepNext w:val="0"/>
        <w:keepLines w:val="0"/>
        <w:widowControl/>
        <w:suppressLineNumbers w:val="0"/>
        <w:spacing w:before="45" w:beforeAutospacing="0" w:after="45" w:afterAutospacing="0" w:line="560" w:lineRule="atLeast"/>
        <w:ind w:left="75" w:right="75" w:firstLine="640"/>
        <w:jc w:val="left"/>
        <w:rPr>
          <w:sz w:val="21"/>
          <w:szCs w:val="21"/>
        </w:rPr>
      </w:pPr>
      <w:r>
        <w:rPr>
          <w:rFonts w:hint="eastAsia" w:ascii="仿宋_GB2312" w:eastAsia="仿宋_GB2312" w:cs="仿宋_GB2312" w:hAnsiTheme="minorHAnsi"/>
          <w:i w:val="0"/>
          <w:caps w:val="0"/>
          <w:color w:val="000000"/>
          <w:spacing w:val="0"/>
          <w:kern w:val="0"/>
          <w:sz w:val="32"/>
          <w:szCs w:val="32"/>
          <w:shd w:val="clear" w:fill="FFFFFF"/>
          <w:lang w:val="en-US" w:eastAsia="zh-CN" w:bidi="ar"/>
        </w:rPr>
        <w:t>以上事实，有《询问笔录》、《现场检查笔录》等证据为证。</w:t>
      </w:r>
    </w:p>
    <w:p>
      <w:pPr>
        <w:keepNext w:val="0"/>
        <w:keepLines w:val="0"/>
        <w:widowControl/>
        <w:suppressLineNumbers w:val="0"/>
        <w:spacing w:before="45" w:beforeAutospacing="0" w:after="45" w:afterAutospacing="0" w:line="560" w:lineRule="atLeast"/>
        <w:ind w:left="75" w:right="75" w:firstLine="640"/>
        <w:jc w:val="left"/>
        <w:rPr>
          <w:sz w:val="21"/>
          <w:szCs w:val="21"/>
        </w:rPr>
      </w:pPr>
      <w:r>
        <w:rPr>
          <w:rFonts w:hint="eastAsia" w:ascii="仿宋_GB2312" w:eastAsia="仿宋_GB2312" w:cs="仿宋_GB2312" w:hAnsiTheme="minorHAnsi"/>
          <w:i w:val="0"/>
          <w:caps w:val="0"/>
          <w:color w:val="000000"/>
          <w:spacing w:val="0"/>
          <w:kern w:val="0"/>
          <w:sz w:val="32"/>
          <w:szCs w:val="32"/>
          <w:shd w:val="clear" w:fill="FFFFFF"/>
          <w:lang w:val="en-US" w:eastAsia="zh-CN" w:bidi="ar"/>
        </w:rPr>
        <w:t>当事人上述行为违反了《中华人民共和国固体废物污染环境防治法》第三十三条和第五十八条第三款的规定。</w:t>
      </w:r>
    </w:p>
    <w:p>
      <w:pPr>
        <w:keepNext w:val="0"/>
        <w:keepLines w:val="0"/>
        <w:widowControl/>
        <w:suppressLineNumbers w:val="0"/>
        <w:spacing w:before="45" w:beforeAutospacing="0" w:after="45" w:afterAutospacing="0" w:line="560" w:lineRule="atLeast"/>
        <w:ind w:left="75" w:right="75" w:firstLine="640"/>
        <w:jc w:val="left"/>
        <w:rPr>
          <w:sz w:val="21"/>
          <w:szCs w:val="21"/>
        </w:rPr>
      </w:pPr>
      <w:r>
        <w:rPr>
          <w:rFonts w:hint="eastAsia" w:ascii="仿宋_GB2312" w:eastAsia="仿宋_GB2312" w:cs="仿宋_GB2312" w:hAnsiTheme="minorHAnsi"/>
          <w:i w:val="0"/>
          <w:caps w:val="0"/>
          <w:color w:val="000000"/>
          <w:spacing w:val="0"/>
          <w:kern w:val="0"/>
          <w:sz w:val="32"/>
          <w:szCs w:val="32"/>
          <w:shd w:val="clear" w:fill="FFFFFF"/>
          <w:lang w:val="en-US" w:eastAsia="zh-CN" w:bidi="ar"/>
        </w:rPr>
        <w:t>2018年1月16日，我局作出《行政处罚告知书》（穗环法告〔2018〕7号），并于1月19日送达当事人。当事人于2018年3月7日提交书面申辩意见如下：我司有对危险废物建立规范化处理流程，当时生产现场在整理化料仓产生废编织袋，未能及时收集遗留在现场并非长期露天堆放，是操作人员偶然失职的错误；贮存场所当时设有收集设施，已立即改善贮存场所对原有硬化地面设导排渠，刷防渗漆；工业废物跟生活废物均有分类管理存放，当时因工作人员在整理废桶时将自己的工作手套及一些纸袋遗留在桶内，并非是混合堆放或未分类处理。经审理，我局部分采纳当事人的申辩意见。现本案经我局审查结束。</w:t>
      </w:r>
    </w:p>
    <w:p>
      <w:pPr>
        <w:keepNext w:val="0"/>
        <w:keepLines w:val="0"/>
        <w:widowControl/>
        <w:suppressLineNumbers w:val="0"/>
        <w:spacing w:before="45" w:beforeAutospacing="0" w:after="45" w:afterAutospacing="0" w:line="560" w:lineRule="atLeast"/>
        <w:ind w:left="75" w:right="75" w:firstLine="640"/>
        <w:jc w:val="left"/>
        <w:rPr>
          <w:sz w:val="21"/>
          <w:szCs w:val="21"/>
        </w:rPr>
      </w:pPr>
      <w:r>
        <w:rPr>
          <w:rFonts w:hint="eastAsia" w:ascii="仿宋_GB2312" w:eastAsia="仿宋_GB2312" w:cs="仿宋_GB2312" w:hAnsiTheme="minorHAnsi"/>
          <w:i w:val="0"/>
          <w:caps w:val="0"/>
          <w:color w:val="000000"/>
          <w:spacing w:val="0"/>
          <w:kern w:val="0"/>
          <w:sz w:val="32"/>
          <w:szCs w:val="32"/>
          <w:shd w:val="clear" w:fill="FFFFFF"/>
          <w:lang w:val="en-US" w:eastAsia="zh-CN" w:bidi="ar"/>
        </w:rPr>
        <w:t>我局依据《中华人民共和国行政处罚法》第二十三条、《中华人民共和国固体废物污染环境防治法》第七十五条第一款第（七）、（十）项、第二款及《广东省环境保护厅环境行政处罚自由裁量权裁量标准（试行）》§12.4.3第5项、§12.4.6第4项的规定，责令当事人立即改正违法行为，并作出处罚如下：</w:t>
      </w:r>
    </w:p>
    <w:p>
      <w:pPr>
        <w:keepNext w:val="0"/>
        <w:keepLines w:val="0"/>
        <w:widowControl/>
        <w:suppressLineNumbers w:val="0"/>
        <w:spacing w:before="45" w:beforeAutospacing="0" w:after="45" w:afterAutospacing="0" w:line="560" w:lineRule="atLeast"/>
        <w:ind w:left="75" w:right="75" w:firstLine="640"/>
        <w:jc w:val="left"/>
        <w:rPr>
          <w:sz w:val="21"/>
          <w:szCs w:val="21"/>
        </w:rPr>
      </w:pPr>
      <w:r>
        <w:rPr>
          <w:rFonts w:hint="eastAsia" w:ascii="仿宋_GB2312" w:eastAsia="仿宋_GB2312" w:cs="仿宋_GB2312" w:hAnsiTheme="minorHAnsi"/>
          <w:i w:val="0"/>
          <w:caps w:val="0"/>
          <w:color w:val="000000"/>
          <w:spacing w:val="0"/>
          <w:kern w:val="0"/>
          <w:sz w:val="32"/>
          <w:szCs w:val="32"/>
          <w:shd w:val="clear" w:fill="FFFFFF"/>
          <w:lang w:val="en-US" w:eastAsia="zh-CN" w:bidi="ar"/>
        </w:rPr>
        <w:t>罚款8万元。</w:t>
      </w:r>
    </w:p>
    <w:p>
      <w:pPr>
        <w:keepNext w:val="0"/>
        <w:keepLines w:val="0"/>
        <w:widowControl/>
        <w:suppressLineNumbers w:val="0"/>
        <w:spacing w:before="45" w:beforeAutospacing="0" w:after="45" w:afterAutospacing="0" w:line="560" w:lineRule="atLeast"/>
        <w:ind w:left="75" w:right="75" w:firstLine="640"/>
        <w:jc w:val="left"/>
        <w:rPr>
          <w:sz w:val="21"/>
          <w:szCs w:val="21"/>
        </w:rPr>
      </w:pPr>
      <w:r>
        <w:rPr>
          <w:rFonts w:hint="eastAsia" w:ascii="仿宋_GB2312" w:eastAsia="仿宋_GB2312" w:cs="仿宋_GB2312" w:hAnsiTheme="minorHAnsi"/>
          <w:i w:val="0"/>
          <w:caps w:val="0"/>
          <w:color w:val="000000"/>
          <w:spacing w:val="0"/>
          <w:kern w:val="0"/>
          <w:sz w:val="32"/>
          <w:szCs w:val="32"/>
          <w:shd w:val="clear" w:fill="FFFFFF"/>
          <w:lang w:val="en-US" w:eastAsia="zh-CN" w:bidi="ar"/>
        </w:rPr>
        <w:t>限当事人在收到本处罚决定书之日起15日内，按照《广州市非税收入缴款通知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华兴银行、创兴银行、浙商银行、渤海银行、珠海华润银行、九江银行），收入项目编码：3124。</w:t>
      </w:r>
    </w:p>
    <w:p>
      <w:pPr>
        <w:keepNext w:val="0"/>
        <w:keepLines w:val="0"/>
        <w:widowControl/>
        <w:suppressLineNumbers w:val="0"/>
        <w:spacing w:before="45" w:beforeAutospacing="0" w:after="45" w:afterAutospacing="0" w:line="560" w:lineRule="atLeast"/>
        <w:ind w:left="75" w:right="75" w:firstLine="640"/>
        <w:jc w:val="left"/>
        <w:rPr>
          <w:sz w:val="21"/>
          <w:szCs w:val="21"/>
        </w:rPr>
      </w:pPr>
      <w:r>
        <w:rPr>
          <w:rFonts w:hint="eastAsia" w:ascii="仿宋_GB2312" w:eastAsia="仿宋_GB2312" w:cs="仿宋_GB2312" w:hAnsiTheme="minorHAnsi"/>
          <w:i w:val="0"/>
          <w:caps w:val="0"/>
          <w:color w:val="000000"/>
          <w:spacing w:val="0"/>
          <w:kern w:val="0"/>
          <w:sz w:val="32"/>
          <w:szCs w:val="32"/>
          <w:shd w:val="clear" w:fill="FFFFFF"/>
          <w:lang w:val="en-US" w:eastAsia="zh-CN" w:bidi="ar"/>
        </w:rPr>
        <w:t>如不服上述行政处罚决定，可在接到本处罚决定书之日起60日内，向广州市人民政府（地址：越秀区小北路183号金和大厦2楼，电话：83555988）或广东省环境保护厅（地址：天河区龙口西路213号，电话：87533928、87531656）提出行政复议申请，或在六个月内直接向有管辖权的人民法院提起行政诉讼。行政复议、行政诉讼期间内，不得停止本决定的履行。</w:t>
      </w:r>
    </w:p>
    <w:p>
      <w:pPr>
        <w:keepNext w:val="0"/>
        <w:keepLines w:val="0"/>
        <w:widowControl/>
        <w:suppressLineNumbers w:val="0"/>
        <w:spacing w:before="45" w:beforeAutospacing="0" w:after="45" w:afterAutospacing="0" w:line="560" w:lineRule="atLeast"/>
        <w:ind w:left="75" w:right="75" w:firstLine="640"/>
        <w:jc w:val="left"/>
        <w:rPr>
          <w:sz w:val="21"/>
          <w:szCs w:val="21"/>
        </w:rPr>
      </w:pPr>
      <w:r>
        <w:rPr>
          <w:rFonts w:hint="eastAsia" w:ascii="仿宋_GB2312" w:eastAsia="仿宋_GB2312" w:cs="仿宋_GB2312" w:hAnsiTheme="minorHAnsi"/>
          <w:i w:val="0"/>
          <w:caps w:val="0"/>
          <w:color w:val="000000"/>
          <w:spacing w:val="0"/>
          <w:kern w:val="0"/>
          <w:sz w:val="32"/>
          <w:szCs w:val="32"/>
          <w:shd w:val="clear" w:fill="FFFFFF"/>
          <w:lang w:val="en-US" w:eastAsia="zh-CN" w:bidi="ar"/>
        </w:rPr>
        <w:t>逾期不履行本处罚决定，我局将申请人民法院强制执行，并按罚款额每日加处百分之三罚款。</w:t>
      </w:r>
    </w:p>
    <w:p>
      <w:pPr>
        <w:keepNext w:val="0"/>
        <w:keepLines w:val="0"/>
        <w:widowControl/>
        <w:suppressLineNumbers w:val="0"/>
        <w:spacing w:before="45" w:beforeAutospacing="0" w:after="45" w:afterAutospacing="0" w:line="560" w:lineRule="atLeast"/>
        <w:ind w:left="75" w:right="75" w:firstLine="640"/>
        <w:jc w:val="left"/>
        <w:rPr>
          <w:sz w:val="21"/>
          <w:szCs w:val="21"/>
        </w:rPr>
      </w:pPr>
      <w:r>
        <w:rPr>
          <w:rFonts w:hint="eastAsia" w:ascii="仿宋_GB2312" w:eastAsia="仿宋_GB2312" w:cs="仿宋_GB2312" w:hAnsiTheme="minorHAnsi"/>
          <w:i w:val="0"/>
          <w:caps w:val="0"/>
          <w:color w:val="000000"/>
          <w:spacing w:val="0"/>
          <w:kern w:val="0"/>
          <w:sz w:val="32"/>
          <w:szCs w:val="32"/>
          <w:shd w:val="clear" w:fill="FFFFFF"/>
          <w:lang w:val="en-US" w:eastAsia="zh-CN" w:bidi="ar"/>
        </w:rPr>
        <w:t> </w:t>
      </w:r>
    </w:p>
    <w:p>
      <w:pPr>
        <w:keepNext w:val="0"/>
        <w:keepLines w:val="0"/>
        <w:widowControl/>
        <w:suppressLineNumbers w:val="0"/>
        <w:spacing w:before="45" w:beforeAutospacing="0" w:after="45" w:afterAutospacing="0" w:line="560" w:lineRule="atLeast"/>
        <w:ind w:left="75" w:right="968"/>
        <w:jc w:val="right"/>
        <w:rPr>
          <w:sz w:val="21"/>
          <w:szCs w:val="21"/>
        </w:rPr>
      </w:pPr>
      <w:r>
        <w:rPr>
          <w:rFonts w:hint="eastAsia" w:ascii="仿宋_GB2312" w:eastAsia="仿宋_GB2312" w:cs="仿宋_GB2312" w:hAnsiTheme="minorHAnsi"/>
          <w:i w:val="0"/>
          <w:caps w:val="0"/>
          <w:color w:val="000000"/>
          <w:spacing w:val="0"/>
          <w:kern w:val="0"/>
          <w:sz w:val="32"/>
          <w:szCs w:val="32"/>
          <w:shd w:val="clear" w:fill="FFFFFF"/>
          <w:lang w:val="en-US" w:eastAsia="zh-CN" w:bidi="ar"/>
        </w:rPr>
        <w:t>广州市环境保护局</w:t>
      </w:r>
    </w:p>
    <w:p>
      <w:pPr>
        <w:keepNext w:val="0"/>
        <w:keepLines w:val="0"/>
        <w:widowControl/>
        <w:suppressLineNumbers w:val="0"/>
        <w:spacing w:before="45" w:beforeAutospacing="0" w:after="45" w:afterAutospacing="0" w:line="560" w:lineRule="atLeast"/>
        <w:ind w:left="75" w:right="968"/>
        <w:jc w:val="right"/>
        <w:rPr>
          <w:sz w:val="21"/>
          <w:szCs w:val="21"/>
        </w:rPr>
      </w:pPr>
      <w:r>
        <w:rPr>
          <w:rFonts w:hint="eastAsia" w:ascii="仿宋_GB2312" w:eastAsia="仿宋_GB2312" w:cs="仿宋_GB2312" w:hAnsiTheme="minorHAnsi"/>
          <w:i w:val="0"/>
          <w:caps w:val="0"/>
          <w:color w:val="000000"/>
          <w:spacing w:val="0"/>
          <w:kern w:val="0"/>
          <w:sz w:val="32"/>
          <w:szCs w:val="32"/>
          <w:shd w:val="clear" w:fill="FFFFFF"/>
          <w:lang w:val="en-US" w:eastAsia="zh-CN" w:bidi="ar"/>
        </w:rPr>
        <w:t>2018年4月25日 </w:t>
      </w:r>
    </w:p>
    <w:p>
      <w:pPr>
        <w:keepNext w:val="0"/>
        <w:keepLines w:val="0"/>
        <w:widowControl/>
        <w:suppressLineNumbers w:val="0"/>
        <w:spacing w:before="45" w:beforeAutospacing="0" w:after="45" w:afterAutospacing="0" w:line="560" w:lineRule="atLeast"/>
        <w:ind w:left="75" w:right="968"/>
        <w:jc w:val="right"/>
        <w:rPr>
          <w:sz w:val="21"/>
          <w:szCs w:val="21"/>
        </w:rPr>
      </w:pPr>
      <w:r>
        <w:rPr>
          <w:rFonts w:hint="eastAsia" w:ascii="仿宋_GB2312" w:eastAsia="仿宋_GB2312" w:cs="仿宋_GB2312" w:hAnsiTheme="minorHAnsi"/>
          <w:i w:val="0"/>
          <w:caps w:val="0"/>
          <w:color w:val="000000"/>
          <w:spacing w:val="0"/>
          <w:kern w:val="0"/>
          <w:sz w:val="32"/>
          <w:szCs w:val="32"/>
          <w:shd w:val="clear" w:fill="FFFFFF"/>
          <w:lang w:val="en-US" w:eastAsia="zh-CN" w:bidi="ar"/>
        </w:rPr>
        <w:t> </w:t>
      </w:r>
    </w:p>
    <w:p>
      <w:pPr>
        <w:pStyle w:val="2"/>
        <w:keepNext w:val="0"/>
        <w:keepLines w:val="0"/>
        <w:widowControl/>
        <w:suppressLineNumbers w:val="0"/>
        <w:spacing w:before="45" w:beforeAutospacing="0" w:after="0" w:afterAutospacing="0" w:line="560" w:lineRule="atLeast"/>
        <w:ind w:left="75" w:right="75"/>
        <w:jc w:val="left"/>
        <w:rPr>
          <w:sz w:val="21"/>
          <w:szCs w:val="21"/>
        </w:rPr>
      </w:pPr>
      <w:r>
        <w:rPr>
          <w:rFonts w:hint="eastAsia" w:ascii="仿宋_GB2312" w:eastAsia="仿宋_GB2312" w:cs="仿宋_GB2312"/>
          <w:i w:val="0"/>
          <w:caps w:val="0"/>
          <w:color w:val="000000"/>
          <w:spacing w:val="0"/>
          <w:sz w:val="28"/>
          <w:szCs w:val="28"/>
          <w:shd w:val="clear" w:fill="FFFFFF"/>
        </w:rPr>
        <w:t>  抄送：局辐管处、执法监察支队，市固管中心，南沙区环保水务局。</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D6755E"/>
    <w:rsid w:val="268D0943"/>
    <w:rsid w:val="41D6755E"/>
    <w:rsid w:val="42D833F1"/>
    <w:rsid w:val="5B744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2019-01-28T02:58:00Z</dcterms:created>
  <dc:creator>黄文宇</dc:creator>
  <cp:lastModifiedBy>黄文宇</cp:lastModifiedBy>
  <dcterms:modified xsi:type="dcterms:W3CDTF">2019-01-28T02:58:56Z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