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2" w:rsidRPr="00E141A2" w:rsidRDefault="00E141A2" w:rsidP="00E141A2">
      <w:pPr>
        <w:widowControl/>
        <w:wordWrap w:val="0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穗环法罚〔2017〕</w:t>
      </w:r>
      <w:r w:rsidR="00F77D82">
        <w:rPr>
          <w:rFonts w:ascii="宋体" w:eastAsia="宋体" w:hAnsi="宋体" w:cs="宋体" w:hint="eastAsia"/>
          <w:b/>
          <w:kern w:val="0"/>
          <w:sz w:val="32"/>
          <w:szCs w:val="32"/>
        </w:rPr>
        <w:t>96</w:t>
      </w:r>
      <w:r w:rsidRPr="00E141A2">
        <w:rPr>
          <w:rFonts w:ascii="宋体" w:eastAsia="宋体" w:hAnsi="宋体" w:cs="宋体" w:hint="eastAsia"/>
          <w:b/>
          <w:kern w:val="0"/>
          <w:sz w:val="32"/>
          <w:szCs w:val="32"/>
        </w:rPr>
        <w:t>号</w:t>
      </w:r>
    </w:p>
    <w:p w:rsidR="00E141A2" w:rsidRDefault="00E141A2" w:rsidP="00E141A2">
      <w:pPr>
        <w:widowControl/>
        <w:wordWrap w:val="0"/>
        <w:jc w:val="center"/>
        <w:rPr>
          <w:rFonts w:ascii="宋体" w:eastAsia="宋体" w:hAnsi="宋体" w:cs="宋体" w:hint="eastAsia"/>
          <w:kern w:val="0"/>
          <w:sz w:val="24"/>
          <w:szCs w:val="24"/>
        </w:rPr>
      </w:pPr>
      <w:r w:rsidRPr="00E141A2">
        <w:rPr>
          <w:rFonts w:ascii="宋体" w:eastAsia="宋体" w:hAnsi="宋体" w:cs="宋体" w:hint="eastAsia"/>
          <w:kern w:val="0"/>
          <w:sz w:val="24"/>
          <w:szCs w:val="24"/>
        </w:rPr>
        <w:t xml:space="preserve">  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700"/>
        <w:gridCol w:w="2286"/>
        <w:gridCol w:w="1286"/>
        <w:gridCol w:w="982"/>
        <w:gridCol w:w="982"/>
        <w:gridCol w:w="1286"/>
      </w:tblGrid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行政处罚决定文书号:</w:t>
            </w:r>
          </w:p>
        </w:tc>
        <w:tc>
          <w:tcPr>
            <w:tcW w:w="666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穗环法罚〔2017〕96号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处罚名称: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广州市增城正果圣峰木业制品厂行政处罚案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处罚类别: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罚款</w:t>
            </w:r>
          </w:p>
        </w:tc>
      </w:tr>
      <w:tr w:rsidR="00F77D82" w:rsidRPr="00F77D82" w:rsidTr="00F77D82">
        <w:trPr>
          <w:trHeight w:val="276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处罚事由: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经我局执法监察支队2017年9月25日调查发现，当事人2010年建成投产木材加工项目，配套使用的1蒸吨/小时锅炉（编号：锅粤AWB509）陆续燃烧木板边角料。</w:t>
            </w:r>
          </w:p>
        </w:tc>
      </w:tr>
      <w:tr w:rsidR="00F77D82" w:rsidRPr="00F77D82" w:rsidTr="00F77D82">
        <w:trPr>
          <w:trHeight w:val="347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处罚依据: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依据《中华人民共和国大气污染防治法》第一百零七条第二款及《广州市环境保护局关于&lt;中华人民共和国大气污染防治法&gt;的环境行政处罚自由裁量权裁量标准（试行）》第12项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处罚结果: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责令立即改正使用高污染燃料的违法行为，并处罚款14万元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行政相对人名称: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广州市增城正果圣峰木业制品厂</w:t>
            </w:r>
          </w:p>
        </w:tc>
      </w:tr>
      <w:tr w:rsidR="00F77D82" w:rsidRPr="00F77D82" w:rsidTr="00F77D82">
        <w:trPr>
          <w:trHeight w:val="547"/>
          <w:jc w:val="center"/>
        </w:trPr>
        <w:tc>
          <w:tcPr>
            <w:tcW w:w="19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行政相对人代码: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工商登记码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税务登记号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居民身份证号码</w:t>
            </w:r>
          </w:p>
        </w:tc>
      </w:tr>
      <w:tr w:rsidR="00F77D82" w:rsidRPr="00F77D82" w:rsidTr="00F77D82">
        <w:trPr>
          <w:trHeight w:val="371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77D82" w:rsidRPr="00F77D82" w:rsidRDefault="00F77D82" w:rsidP="00F77D82">
            <w:pPr>
              <w:widowControl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77D82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  <w:r w:rsidRPr="00F77D82">
              <w:rPr>
                <w:rFonts w:ascii="宋体" w:eastAsia="宋体" w:hAnsi="宋体" w:cs="宋体"/>
                <w:color w:val="102401"/>
                <w:kern w:val="0"/>
                <w:szCs w:val="21"/>
              </w:rPr>
              <w:t>92440101L31753577N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</w:pPr>
            <w:r w:rsidRPr="00F77D82">
              <w:rPr>
                <w:rFonts w:ascii="宋体" w:eastAsia="宋体" w:hAnsi="宋体" w:cs="宋体"/>
                <w:color w:val="102401"/>
                <w:kern w:val="0"/>
                <w:sz w:val="18"/>
                <w:szCs w:val="18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 xml:space="preserve">　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法人代表姓名: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张颂凡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处罚决定日期: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2017/12/22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处罚机关: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广州市环境保护局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地方编码: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400100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当前状态: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正常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数据更新时间戳: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2017/12/22</w:t>
            </w:r>
          </w:p>
        </w:tc>
      </w:tr>
      <w:tr w:rsidR="00F77D82" w:rsidRPr="00F77D82" w:rsidTr="00F77D82">
        <w:trPr>
          <w:trHeight w:val="285"/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righ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b/>
                <w:bCs/>
                <w:color w:val="102401"/>
                <w:kern w:val="0"/>
                <w:sz w:val="24"/>
                <w:szCs w:val="24"/>
              </w:rPr>
              <w:t>备注:</w:t>
            </w:r>
          </w:p>
        </w:tc>
        <w:tc>
          <w:tcPr>
            <w:tcW w:w="66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77D82" w:rsidRPr="00F77D82" w:rsidRDefault="00F77D82" w:rsidP="00F77D82">
            <w:pPr>
              <w:widowControl/>
              <w:spacing w:before="100" w:beforeAutospacing="1" w:after="100" w:afterAutospacing="1" w:line="270" w:lineRule="atLeast"/>
              <w:jc w:val="left"/>
              <w:rPr>
                <w:rFonts w:ascii="宋体" w:eastAsia="宋体" w:hAnsi="宋体" w:cs="宋体"/>
                <w:color w:val="102401"/>
                <w:kern w:val="0"/>
                <w:sz w:val="24"/>
                <w:szCs w:val="24"/>
              </w:rPr>
            </w:pPr>
            <w:r w:rsidRPr="00F77D82">
              <w:rPr>
                <w:rFonts w:ascii="宋体" w:eastAsia="宋体" w:hAnsi="宋体" w:cs="宋体" w:hint="eastAsia"/>
                <w:color w:val="102401"/>
                <w:kern w:val="0"/>
                <w:sz w:val="24"/>
                <w:szCs w:val="24"/>
              </w:rPr>
              <w:t> </w:t>
            </w:r>
          </w:p>
        </w:tc>
      </w:tr>
    </w:tbl>
    <w:p w:rsidR="00F77D82" w:rsidRPr="00F77D82" w:rsidRDefault="00F77D82" w:rsidP="00F77D82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 w:hint="eastAsia"/>
          <w:color w:val="102401"/>
          <w:kern w:val="0"/>
          <w:sz w:val="24"/>
          <w:szCs w:val="24"/>
        </w:rPr>
        <w:t> 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 w:hint="eastAsia"/>
          <w:b/>
          <w:bCs/>
          <w:color w:val="102401"/>
          <w:kern w:val="0"/>
          <w:sz w:val="32"/>
          <w:szCs w:val="32"/>
        </w:rPr>
        <w:t>全文信息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432" w:lineRule="auto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 w:hint="eastAsia"/>
          <w:color w:val="102401"/>
          <w:kern w:val="0"/>
          <w:sz w:val="24"/>
          <w:szCs w:val="24"/>
        </w:rPr>
        <w:t> 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Times New Roman" w:eastAsia="宋体" w:hAnsi="Times New Roman" w:cs="Times New Roman"/>
          <w:b/>
          <w:bCs/>
          <w:color w:val="102401"/>
          <w:kern w:val="0"/>
          <w:sz w:val="44"/>
          <w:szCs w:val="44"/>
        </w:rPr>
        <w:t>行政处罚决定书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560" w:lineRule="atLeast"/>
        <w:jc w:val="center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 w:hint="eastAsia"/>
          <w:color w:val="102401"/>
          <w:kern w:val="0"/>
          <w:sz w:val="24"/>
          <w:szCs w:val="24"/>
        </w:rPr>
        <w:t> </w:t>
      </w:r>
      <w:r w:rsidRPr="00F77D82">
        <w:rPr>
          <w:rFonts w:ascii="宋体" w:eastAsia="宋体" w:hAnsi="宋体" w:cs="宋体" w:hint="eastAsia"/>
          <w:color w:val="102401"/>
          <w:kern w:val="0"/>
          <w:sz w:val="30"/>
          <w:szCs w:val="30"/>
        </w:rPr>
        <w:t>穗环法罚〔2017〕96号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/>
          <w:color w:val="102401"/>
          <w:kern w:val="0"/>
          <w:sz w:val="24"/>
          <w:szCs w:val="24"/>
        </w:rPr>
        <w:lastRenderedPageBreak/>
        <w:t> 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当事人：广州市增城正果圣峰木业制品厂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统一社会信用代码：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92440101L31753577N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500" w:lineRule="atLeast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地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 xml:space="preserve">  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址：广州市增城区正果镇池田开发区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经我局执法监察支队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2017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9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25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日调查发现，当事人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2010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年建成投产木材加工项目，配套使用的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蒸吨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/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小时锅炉（编号：锅粤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AWB509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）陆续燃烧木板边角料。以上事实，有《询问笔录》、《现场检查笔录》等证据为证。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当事人上述行为违反了《中华人民共和国大气污染防治法》第四十条的规定。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2017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11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6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日，我局作出《行政处罚听证告知书》（穗环法告〔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2017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〕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82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号），并于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2017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11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10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日送达当事人。当事人提出陈述申辩意见：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1.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该单位锅炉是生物质燃料锅炉，并不是高污染燃料锅炉；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2.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该单位锅炉主要燃烧生物质燃料，因员工未按照工厂要求将木板边角料送至指定点堆放处理，擅自送入锅炉和生物质燃料混合燃烧；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 xml:space="preserve">3. 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该单位已积极采取改正措施；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 xml:space="preserve">4. 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该单位锅炉不属于“生产、进口、销售和使用不符合规定标准或者要求的锅炉”，不应适用《广州市环境保护局关于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&lt;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中华人民共和国大气污染防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lastRenderedPageBreak/>
        <w:t>治法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&gt;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的环境行政处罚自由裁量权裁量标准（试行）》第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12-3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项处罚。经审理，我局部分采纳当事人申辩意见，对于当事人认为其锅炉本身是生物质燃料锅炉，不属于《中华人民共和国大气污染防治法》第一百零七条中“生产、进口、销售和使用不符合规定标准或者要求的锅炉”的问题，环境保护部《关于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&lt;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中华人民共和国大气污染防治法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&gt;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第四十条适用问题的请示》（粤环报〔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2016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〕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13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号）中说明“改用生物质燃气的锅炉，其燃料和大气污染物排放须符合国家或我省的有关要求，这是地方人民政府对锅炉使用环节提出的环境保护要求”。因此，木板边角料是高污染燃料，生物质燃料锅炉燃用高污染燃料的行为，属于锅炉的使用环节不符合标准或者要求，违反了《中华人民共和国大气污染防治法》第四十条的规定。现本案经我局审查结束。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我局依据《中华人民共和国大气污染防治法》第一百零七条第二款及《广州市环境保护局关于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&lt;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中华人民共和国大气污染防治法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&gt;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的环境行政处罚自由裁量权裁量标准（试行）》第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12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项规定，责令该单位立即停止使用高污染燃料的违法行为，作出处罚如下：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罚款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14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万元。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限当事人在收到本处罚决定书之日起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15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日内，按照《广州市非税收入缴款通知书》的要求，将上述罚款缴到非税收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lastRenderedPageBreak/>
        <w:t>入代收银行（工商银行、建设银行、广州银行、广州农村商业银行、中国银行、农业银行、邮政储蓄银行、交通银行、光大银行、中信银行、广发银行、浦发银行、华夏银行），收入项目编码：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3124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。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如不服上述行政处罚决定，可在接到本处罚决定书之日起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60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日内，向广州市人民政府或广东省环境保护厅提出行政复议申请，或在六个月内直接向有管辖权的人民法院提起行政诉讼。行政复议、行政诉讼期间内，不得停止本决定的履行。</w:t>
      </w:r>
    </w:p>
    <w:p w:rsidR="00F77D82" w:rsidRPr="00F77D82" w:rsidRDefault="00F77D82" w:rsidP="00F77D82">
      <w:pPr>
        <w:widowControl/>
        <w:wordWrap w:val="0"/>
        <w:spacing w:before="100" w:beforeAutospacing="1" w:after="100" w:afterAutospacing="1" w:line="600" w:lineRule="atLeast"/>
        <w:ind w:firstLine="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逾期不履行本处罚决定，我局将申请人民法院强制执行，并按罚款额每日加处百分之三罚款。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 xml:space="preserve"> 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600" w:lineRule="atLeast"/>
        <w:ind w:right="968" w:firstLine="4640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  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600" w:lineRule="atLeast"/>
        <w:ind w:right="968" w:firstLine="4640"/>
        <w:jc w:val="righ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广州市环境保护局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600" w:lineRule="atLeast"/>
        <w:ind w:right="968" w:firstLine="4640"/>
        <w:jc w:val="righ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2017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年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12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月</w:t>
      </w: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22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日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600" w:lineRule="atLeast"/>
        <w:ind w:right="968"/>
        <w:jc w:val="righ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宋体" w:eastAsia="宋体" w:hAnsi="宋体" w:cs="宋体"/>
          <w:color w:val="102401"/>
          <w:kern w:val="0"/>
          <w:sz w:val="32"/>
          <w:szCs w:val="32"/>
        </w:rPr>
        <w:t> </w:t>
      </w:r>
      <w:r w:rsidRPr="00F77D82">
        <w:rPr>
          <w:rFonts w:ascii="宋体" w:eastAsia="宋体" w:hAnsi="宋体" w:cs="宋体"/>
          <w:color w:val="102401"/>
          <w:kern w:val="0"/>
          <w:sz w:val="24"/>
          <w:szCs w:val="24"/>
        </w:rPr>
        <w:t> </w:t>
      </w:r>
    </w:p>
    <w:p w:rsidR="00F77D82" w:rsidRPr="00F77D82" w:rsidRDefault="00F77D82" w:rsidP="00F77D82">
      <w:pPr>
        <w:widowControl/>
        <w:wordWrap w:val="0"/>
        <w:snapToGrid w:val="0"/>
        <w:spacing w:before="100" w:beforeAutospacing="1" w:after="100" w:afterAutospacing="1" w:line="600" w:lineRule="atLeast"/>
        <w:ind w:right="968"/>
        <w:jc w:val="left"/>
        <w:rPr>
          <w:rFonts w:ascii="宋体" w:eastAsia="宋体" w:hAnsi="宋体" w:cs="宋体"/>
          <w:color w:val="102401"/>
          <w:kern w:val="0"/>
          <w:sz w:val="24"/>
          <w:szCs w:val="24"/>
        </w:rPr>
      </w:pP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> </w:t>
      </w:r>
      <w:r w:rsidRPr="00F77D82">
        <w:rPr>
          <w:rFonts w:ascii="仿宋_GB2312" w:eastAsia="仿宋_GB2312" w:hAnsi="宋体" w:cs="宋体" w:hint="eastAsia"/>
          <w:color w:val="102401"/>
          <w:kern w:val="0"/>
          <w:sz w:val="32"/>
          <w:szCs w:val="32"/>
        </w:rPr>
        <w:t xml:space="preserve"> 抄送：局机控处、执法监察支队、增城区环保局。</w:t>
      </w:r>
      <w:r w:rsidRPr="00F77D82">
        <w:rPr>
          <w:rFonts w:ascii="宋体" w:eastAsia="宋体" w:hAnsi="宋体" w:cs="宋体"/>
          <w:color w:val="102401"/>
          <w:kern w:val="0"/>
          <w:sz w:val="24"/>
          <w:szCs w:val="24"/>
        </w:rPr>
        <w:t>  </w:t>
      </w:r>
    </w:p>
    <w:p w:rsidR="00F77D82" w:rsidRPr="00F77D82" w:rsidRDefault="00F77D82" w:rsidP="00E141A2">
      <w:pPr>
        <w:widowControl/>
        <w:wordWrap w:val="0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F77D82" w:rsidRPr="00F77D82" w:rsidSect="008350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BB" w:rsidRDefault="00FF01BB" w:rsidP="00F77D82">
      <w:r>
        <w:separator/>
      </w:r>
    </w:p>
  </w:endnote>
  <w:endnote w:type="continuationSeparator" w:id="1">
    <w:p w:rsidR="00FF01BB" w:rsidRDefault="00FF01BB" w:rsidP="00F77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BB" w:rsidRDefault="00FF01BB" w:rsidP="00F77D82">
      <w:r>
        <w:separator/>
      </w:r>
    </w:p>
  </w:footnote>
  <w:footnote w:type="continuationSeparator" w:id="1">
    <w:p w:rsidR="00FF01BB" w:rsidRDefault="00FF01BB" w:rsidP="00F77D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2A0140"/>
    <w:rsid w:val="0083507D"/>
    <w:rsid w:val="00BC7EB6"/>
    <w:rsid w:val="00E141A2"/>
    <w:rsid w:val="00F77D82"/>
    <w:rsid w:val="00FF0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0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ody Text"/>
    <w:basedOn w:val="a"/>
    <w:link w:val="Char"/>
    <w:uiPriority w:val="99"/>
    <w:semiHidden/>
    <w:unhideWhenUsed/>
    <w:rsid w:val="00E141A2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E141A2"/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F77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F77D82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F77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F77D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4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266</Words>
  <Characters>1518</Characters>
  <Application>Microsoft Office Word</Application>
  <DocSecurity>0</DocSecurity>
  <Lines>12</Lines>
  <Paragraphs>3</Paragraphs>
  <ScaleCrop>false</ScaleCrop>
  <Company>Sky123.Org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ⶠF</dc:creator>
  <cp:lastModifiedBy>ⶠF</cp:lastModifiedBy>
  <cp:revision>3</cp:revision>
  <dcterms:created xsi:type="dcterms:W3CDTF">2019-01-29T07:28:00Z</dcterms:created>
  <dcterms:modified xsi:type="dcterms:W3CDTF">2019-01-29T07:32:00Z</dcterms:modified>
</cp:coreProperties>
</file>