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DB24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Calibri" w:hAnsi="Calibri" w:eastAsia="方正小标宋简体" w:cs="Times New Roman"/>
          <w:sz w:val="44"/>
          <w:szCs w:val="44"/>
        </w:rPr>
      </w:pPr>
      <w:bookmarkStart w:id="0" w:name="_GoBack"/>
      <w:r>
        <w:rPr>
          <w:rFonts w:eastAsia="方正小标宋简体"/>
          <w:sz w:val="44"/>
          <w:szCs w:val="44"/>
        </w:rPr>
        <w:t>广州市</w:t>
      </w:r>
      <w:r>
        <w:rPr>
          <w:rFonts w:hint="eastAsia" w:eastAsia="方正小标宋简体"/>
          <w:sz w:val="44"/>
          <w:szCs w:val="44"/>
        </w:rPr>
        <w:t>固体</w:t>
      </w:r>
      <w:r>
        <w:rPr>
          <w:rFonts w:hint="eastAsia" w:ascii="Calibri" w:hAnsi="Calibri" w:eastAsia="方正小标宋简体" w:cs="Times New Roman"/>
          <w:sz w:val="44"/>
          <w:szCs w:val="44"/>
        </w:rPr>
        <w:t>废物管理中心202</w:t>
      </w:r>
      <w:r>
        <w:rPr>
          <w:rFonts w:hint="eastAsia" w:ascii="Calibri" w:hAnsi="Calibri" w:eastAsia="方正小标宋简体" w:cs="Times New Roman"/>
          <w:sz w:val="44"/>
          <w:szCs w:val="44"/>
          <w:lang w:val="en-US" w:eastAsia="zh-CN"/>
        </w:rPr>
        <w:t>5</w:t>
      </w:r>
      <w:r>
        <w:rPr>
          <w:rFonts w:hint="eastAsia" w:ascii="Calibri" w:hAnsi="Calibri" w:eastAsia="方正小标宋简体" w:cs="Times New Roman"/>
          <w:sz w:val="44"/>
          <w:szCs w:val="44"/>
        </w:rPr>
        <w:t>年度档案</w:t>
      </w:r>
    </w:p>
    <w:p w14:paraId="396E285B">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Calibri" w:hAnsi="Calibri" w:eastAsia="方正小标宋简体" w:cs="Times New Roman"/>
          <w:sz w:val="44"/>
          <w:szCs w:val="44"/>
        </w:rPr>
      </w:pPr>
      <w:r>
        <w:rPr>
          <w:rFonts w:hint="eastAsia" w:ascii="Calibri" w:hAnsi="Calibri" w:eastAsia="方正小标宋简体" w:cs="Times New Roman"/>
          <w:sz w:val="44"/>
          <w:szCs w:val="44"/>
        </w:rPr>
        <w:t>规范化处理服务项目需求书</w:t>
      </w:r>
    </w:p>
    <w:bookmarkEnd w:id="0"/>
    <w:p w14:paraId="08967F04">
      <w:pPr>
        <w:keepNext w:val="0"/>
        <w:keepLines w:val="0"/>
        <w:pageBreakBefore w:val="0"/>
        <w:widowControl w:val="0"/>
        <w:kinsoku/>
        <w:wordWrap/>
        <w:overflowPunct/>
        <w:topLinePunct w:val="0"/>
        <w:autoSpaceDE/>
        <w:autoSpaceDN/>
        <w:bidi w:val="0"/>
        <w:adjustRightInd/>
        <w:snapToGrid/>
        <w:spacing w:line="550" w:lineRule="exact"/>
        <w:textAlignment w:val="auto"/>
        <w:rPr>
          <w:rFonts w:eastAsia="仿宋_GB2312"/>
          <w:sz w:val="32"/>
          <w:szCs w:val="32"/>
          <w:highlight w:val="yellow"/>
        </w:rPr>
      </w:pPr>
    </w:p>
    <w:p w14:paraId="6964706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黑体"/>
          <w:sz w:val="32"/>
          <w:szCs w:val="32"/>
        </w:rPr>
      </w:pPr>
      <w:r>
        <w:rPr>
          <w:rFonts w:eastAsia="黑体"/>
          <w:sz w:val="32"/>
          <w:szCs w:val="32"/>
        </w:rPr>
        <w:t>一、项目名称</w:t>
      </w:r>
    </w:p>
    <w:p w14:paraId="3F7E374E">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eastAsia="仿宋_GB2312"/>
          <w:sz w:val="32"/>
          <w:szCs w:val="32"/>
        </w:rPr>
      </w:pPr>
      <w:r>
        <w:rPr>
          <w:rFonts w:ascii="Times New Roman" w:hAnsi="Times New Roman" w:eastAsia="仿宋_GB2312" w:cs="Times New Roman"/>
          <w:sz w:val="32"/>
          <w:szCs w:val="32"/>
        </w:rPr>
        <w:t>广州市固体废物管理中心</w:t>
      </w:r>
      <w:r>
        <w:rPr>
          <w:rFonts w:hint="default" w:ascii="Times New Roman" w:hAnsi="Times New Roman" w:eastAsia="仿宋_GB2312" w:cs="Times New Roman"/>
          <w:sz w:val="32"/>
          <w:szCs w:val="32"/>
        </w:rPr>
        <w:t>2025年度档案规范化处理服务项目</w:t>
      </w:r>
      <w:r>
        <w:rPr>
          <w:rFonts w:hint="eastAsia" w:ascii="Times New Roman" w:hAnsi="Times New Roman" w:eastAsia="仿宋_GB2312" w:cs="Times New Roman"/>
          <w:sz w:val="32"/>
          <w:szCs w:val="32"/>
          <w:lang w:eastAsia="zh-CN"/>
        </w:rPr>
        <w:t>。</w:t>
      </w:r>
    </w:p>
    <w:p w14:paraId="48A09FD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黑体"/>
          <w:sz w:val="32"/>
          <w:szCs w:val="32"/>
        </w:rPr>
      </w:pPr>
      <w:r>
        <w:rPr>
          <w:rFonts w:eastAsia="黑体"/>
          <w:sz w:val="32"/>
          <w:szCs w:val="32"/>
        </w:rPr>
        <w:t>二、项目背景</w:t>
      </w:r>
    </w:p>
    <w:p w14:paraId="28C1A10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为标准化、规范化开展档案安全整理及相关管理保障工作，我中心拟委托专业档案整理服务机构开展202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年度档案整理等相关服务工作。 </w:t>
      </w:r>
    </w:p>
    <w:p w14:paraId="1F5D910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黑体"/>
          <w:sz w:val="32"/>
          <w:szCs w:val="32"/>
        </w:rPr>
      </w:pPr>
      <w:r>
        <w:rPr>
          <w:rFonts w:eastAsia="黑体"/>
          <w:sz w:val="32"/>
          <w:szCs w:val="32"/>
        </w:rPr>
        <w:t>三、项目经费</w:t>
      </w:r>
    </w:p>
    <w:p w14:paraId="5190D12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本项目服务总费用不超过</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万元，按照合同约定根据项目进度采取分期支付方式执行。</w:t>
      </w:r>
    </w:p>
    <w:p w14:paraId="3DF06D01">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黑体"/>
          <w:sz w:val="32"/>
          <w:szCs w:val="32"/>
        </w:rPr>
      </w:pPr>
      <w:r>
        <w:rPr>
          <w:rFonts w:eastAsia="黑体"/>
          <w:sz w:val="32"/>
          <w:szCs w:val="32"/>
        </w:rPr>
        <w:t>四、项目工作范围</w:t>
      </w:r>
    </w:p>
    <w:p w14:paraId="681BFD9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年度文书、会计、采购等各门类档案的接收、整理；配合采购人完成年度内相关档案管理工作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2023年、2024年</w:t>
      </w:r>
      <w:r>
        <w:rPr>
          <w:rFonts w:hint="default" w:ascii="仿宋_GB2312" w:hAnsi="仿宋_GB2312" w:eastAsia="仿宋_GB2312" w:cs="仿宋_GB2312"/>
          <w:sz w:val="32"/>
          <w:szCs w:val="32"/>
          <w:lang w:val="en-US" w:eastAsia="zh-CN"/>
        </w:rPr>
        <w:t>档案管理数字化扫描采集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档案管理系统配置，</w:t>
      </w:r>
      <w:r>
        <w:rPr>
          <w:rFonts w:hint="eastAsia" w:ascii="仿宋_GB2312" w:hAnsi="仿宋_GB2312" w:eastAsia="仿宋_GB2312" w:cs="仿宋_GB2312"/>
          <w:sz w:val="32"/>
          <w:szCs w:val="32"/>
        </w:rPr>
        <w:t>功能满足全文检索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数字化文件以双层PDF格式提交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1997年以来单位档案的上架，约120箱；</w:t>
      </w:r>
      <w:r>
        <w:rPr>
          <w:rFonts w:hint="default" w:ascii="仿宋_GB2312" w:hAnsi="仿宋_GB2312" w:eastAsia="仿宋_GB2312" w:cs="仿宋_GB2312"/>
          <w:sz w:val="32"/>
          <w:szCs w:val="32"/>
          <w:lang w:val="en-US" w:eastAsia="zh-CN"/>
        </w:rPr>
        <w:t>档案管理咨询服务</w:t>
      </w:r>
      <w:r>
        <w:rPr>
          <w:rFonts w:hint="eastAsia" w:ascii="仿宋_GB2312" w:hAnsi="仿宋_GB2312" w:eastAsia="仿宋_GB2312" w:cs="仿宋_GB2312"/>
          <w:sz w:val="32"/>
          <w:szCs w:val="32"/>
          <w:lang w:val="en-US" w:eastAsia="zh-CN"/>
        </w:rPr>
        <w:t>。</w:t>
      </w:r>
    </w:p>
    <w:p w14:paraId="0C33CF57">
      <w:pPr>
        <w:keepNext w:val="0"/>
        <w:keepLines w:val="0"/>
        <w:pageBreakBefore w:val="0"/>
        <w:widowControl w:val="0"/>
        <w:numPr>
          <w:ilvl w:val="0"/>
          <w:numId w:val="1"/>
        </w:numPr>
        <w:kinsoku/>
        <w:wordWrap/>
        <w:overflowPunct/>
        <w:topLinePunct w:val="0"/>
        <w:autoSpaceDE/>
        <w:autoSpaceDN/>
        <w:bidi w:val="0"/>
        <w:adjustRightInd/>
        <w:snapToGrid/>
        <w:spacing w:line="320" w:lineRule="exact"/>
        <w:ind w:firstLine="640" w:firstLineChars="200"/>
        <w:textAlignment w:val="auto"/>
        <w:rPr>
          <w:rFonts w:eastAsia="黑体"/>
          <w:sz w:val="32"/>
          <w:szCs w:val="32"/>
        </w:rPr>
      </w:pPr>
      <w:r>
        <w:rPr>
          <w:rFonts w:eastAsia="黑体"/>
          <w:sz w:val="32"/>
          <w:szCs w:val="32"/>
        </w:rPr>
        <w:t>项目工作内容</w:t>
      </w:r>
    </w:p>
    <w:tbl>
      <w:tblPr>
        <w:tblStyle w:val="3"/>
        <w:tblW w:w="98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377"/>
        <w:gridCol w:w="4910"/>
        <w:gridCol w:w="1554"/>
        <w:gridCol w:w="1310"/>
      </w:tblGrid>
      <w:tr w14:paraId="50305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noWrap w:val="0"/>
            <w:vAlign w:val="center"/>
          </w:tcPr>
          <w:p w14:paraId="2228058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sz w:val="24"/>
                <w:szCs w:val="24"/>
              </w:rPr>
            </w:pPr>
            <w:r>
              <w:rPr>
                <w:rFonts w:eastAsia="仿宋_GB2312"/>
                <w:b/>
                <w:sz w:val="24"/>
                <w:szCs w:val="24"/>
              </w:rPr>
              <w:t>序号</w:t>
            </w:r>
          </w:p>
        </w:tc>
        <w:tc>
          <w:tcPr>
            <w:tcW w:w="1377" w:type="dxa"/>
            <w:noWrap w:val="0"/>
            <w:vAlign w:val="center"/>
          </w:tcPr>
          <w:p w14:paraId="602A1B2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sz w:val="24"/>
                <w:szCs w:val="24"/>
              </w:rPr>
            </w:pPr>
            <w:r>
              <w:rPr>
                <w:rFonts w:eastAsia="仿宋_GB2312"/>
                <w:b/>
                <w:sz w:val="24"/>
                <w:szCs w:val="24"/>
              </w:rPr>
              <w:t>项目任务</w:t>
            </w:r>
          </w:p>
        </w:tc>
        <w:tc>
          <w:tcPr>
            <w:tcW w:w="4910" w:type="dxa"/>
            <w:noWrap w:val="0"/>
            <w:vAlign w:val="center"/>
          </w:tcPr>
          <w:p w14:paraId="56D47D7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sz w:val="24"/>
                <w:szCs w:val="24"/>
              </w:rPr>
            </w:pPr>
            <w:r>
              <w:rPr>
                <w:rFonts w:eastAsia="仿宋_GB2312"/>
                <w:b/>
                <w:sz w:val="24"/>
                <w:szCs w:val="24"/>
              </w:rPr>
              <w:t>具体内容</w:t>
            </w:r>
          </w:p>
        </w:tc>
        <w:tc>
          <w:tcPr>
            <w:tcW w:w="1554" w:type="dxa"/>
            <w:noWrap w:val="0"/>
            <w:vAlign w:val="center"/>
          </w:tcPr>
          <w:p w14:paraId="426B902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sz w:val="24"/>
                <w:szCs w:val="24"/>
              </w:rPr>
            </w:pPr>
            <w:r>
              <w:rPr>
                <w:rFonts w:hint="eastAsia" w:eastAsia="仿宋_GB2312"/>
                <w:b/>
                <w:sz w:val="24"/>
                <w:szCs w:val="24"/>
              </w:rPr>
              <w:t>数</w:t>
            </w:r>
            <w:r>
              <w:rPr>
                <w:rFonts w:eastAsia="仿宋_GB2312"/>
                <w:b/>
                <w:sz w:val="24"/>
                <w:szCs w:val="24"/>
              </w:rPr>
              <w:t>量</w:t>
            </w:r>
          </w:p>
        </w:tc>
        <w:tc>
          <w:tcPr>
            <w:tcW w:w="1310" w:type="dxa"/>
            <w:noWrap w:val="0"/>
            <w:vAlign w:val="center"/>
          </w:tcPr>
          <w:p w14:paraId="1C53643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b/>
                <w:sz w:val="24"/>
                <w:szCs w:val="24"/>
              </w:rPr>
            </w:pPr>
            <w:r>
              <w:rPr>
                <w:rFonts w:eastAsia="仿宋_GB2312"/>
                <w:b/>
                <w:sz w:val="24"/>
                <w:szCs w:val="24"/>
              </w:rPr>
              <w:t>备注</w:t>
            </w:r>
          </w:p>
        </w:tc>
      </w:tr>
      <w:tr w14:paraId="0624F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736" w:type="dxa"/>
            <w:noWrap w:val="0"/>
            <w:vAlign w:val="center"/>
          </w:tcPr>
          <w:p w14:paraId="7EBE18C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r>
              <w:rPr>
                <w:rFonts w:eastAsia="仿宋_GB2312"/>
                <w:sz w:val="24"/>
                <w:szCs w:val="24"/>
              </w:rPr>
              <w:t>1</w:t>
            </w:r>
          </w:p>
        </w:tc>
        <w:tc>
          <w:tcPr>
            <w:tcW w:w="1377" w:type="dxa"/>
            <w:noWrap w:val="0"/>
            <w:vAlign w:val="center"/>
          </w:tcPr>
          <w:p w14:paraId="05D945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r>
              <w:rPr>
                <w:rFonts w:eastAsia="仿宋_GB2312"/>
                <w:color w:val="000000"/>
                <w:kern w:val="0"/>
                <w:sz w:val="24"/>
                <w:szCs w:val="24"/>
              </w:rPr>
              <w:t>文书类</w:t>
            </w:r>
          </w:p>
        </w:tc>
        <w:tc>
          <w:tcPr>
            <w:tcW w:w="4910" w:type="dxa"/>
            <w:vMerge w:val="restart"/>
            <w:noWrap w:val="0"/>
            <w:vAlign w:val="center"/>
          </w:tcPr>
          <w:p w14:paraId="2ABC47AB">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r>
              <w:rPr>
                <w:rFonts w:eastAsia="仿宋_GB2312"/>
                <w:sz w:val="24"/>
                <w:szCs w:val="24"/>
              </w:rPr>
              <w:t>完成各门类档案的</w:t>
            </w:r>
            <w:r>
              <w:rPr>
                <w:rFonts w:hint="eastAsia" w:eastAsia="仿宋_GB2312"/>
                <w:sz w:val="24"/>
                <w:szCs w:val="24"/>
              </w:rPr>
              <w:t>呈批表单打印、整理及</w:t>
            </w:r>
            <w:r>
              <w:rPr>
                <w:rFonts w:hint="eastAsia" w:eastAsia="仿宋_GB2312"/>
                <w:bCs/>
                <w:sz w:val="24"/>
                <w:szCs w:val="24"/>
              </w:rPr>
              <w:t>甄别</w:t>
            </w:r>
            <w:r>
              <w:rPr>
                <w:rFonts w:eastAsia="仿宋_GB2312"/>
                <w:bCs/>
                <w:sz w:val="24"/>
                <w:szCs w:val="24"/>
              </w:rPr>
              <w:t>、</w:t>
            </w:r>
            <w:r>
              <w:rPr>
                <w:rFonts w:hint="eastAsia" w:eastAsia="仿宋_GB2312"/>
                <w:bCs/>
                <w:sz w:val="24"/>
                <w:szCs w:val="24"/>
              </w:rPr>
              <w:t>校核、</w:t>
            </w:r>
            <w:r>
              <w:rPr>
                <w:rFonts w:eastAsia="仿宋_GB2312"/>
                <w:bCs/>
                <w:sz w:val="24"/>
                <w:szCs w:val="24"/>
              </w:rPr>
              <w:t>分类、打页码、编号、盖章、装订、著录、目录打印、装盒、上架</w:t>
            </w:r>
            <w:r>
              <w:rPr>
                <w:rFonts w:hint="eastAsia" w:eastAsia="仿宋_GB2312"/>
                <w:bCs/>
                <w:sz w:val="24"/>
                <w:szCs w:val="24"/>
                <w:lang w:eastAsia="zh-CN"/>
              </w:rPr>
              <w:t>、</w:t>
            </w:r>
            <w:r>
              <w:rPr>
                <w:rFonts w:hint="default" w:eastAsia="仿宋_GB2312"/>
                <w:bCs/>
                <w:color w:val="000000"/>
                <w:sz w:val="24"/>
                <w:szCs w:val="24"/>
                <w:lang w:val="en-US" w:eastAsia="zh-CN"/>
              </w:rPr>
              <w:t>数字化扫描采集</w:t>
            </w:r>
            <w:r>
              <w:rPr>
                <w:rFonts w:eastAsia="仿宋_GB2312"/>
                <w:bCs/>
                <w:sz w:val="24"/>
                <w:szCs w:val="24"/>
              </w:rPr>
              <w:t>等</w:t>
            </w:r>
            <w:r>
              <w:rPr>
                <w:rFonts w:hint="eastAsia" w:eastAsia="仿宋_GB2312"/>
                <w:bCs/>
                <w:sz w:val="24"/>
                <w:szCs w:val="24"/>
              </w:rPr>
              <w:t>相关</w:t>
            </w:r>
            <w:r>
              <w:rPr>
                <w:rFonts w:eastAsia="仿宋_GB2312"/>
                <w:bCs/>
                <w:sz w:val="24"/>
                <w:szCs w:val="24"/>
              </w:rPr>
              <w:t>工作</w:t>
            </w:r>
            <w:r>
              <w:rPr>
                <w:rFonts w:eastAsia="仿宋_GB2312"/>
                <w:sz w:val="24"/>
                <w:szCs w:val="24"/>
              </w:rPr>
              <w:t>。</w:t>
            </w:r>
          </w:p>
        </w:tc>
        <w:tc>
          <w:tcPr>
            <w:tcW w:w="1554" w:type="dxa"/>
            <w:noWrap w:val="0"/>
            <w:vAlign w:val="center"/>
          </w:tcPr>
          <w:p w14:paraId="7216939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lang w:eastAsia="zh-CN"/>
              </w:rPr>
            </w:pPr>
            <w:r>
              <w:rPr>
                <w:rFonts w:eastAsia="仿宋_GB2312"/>
                <w:sz w:val="24"/>
                <w:szCs w:val="24"/>
              </w:rPr>
              <w:t>约</w:t>
            </w:r>
            <w:r>
              <w:rPr>
                <w:rFonts w:hint="eastAsia" w:eastAsia="仿宋_GB2312"/>
                <w:sz w:val="24"/>
                <w:szCs w:val="24"/>
                <w:lang w:val="en-US" w:eastAsia="zh-CN"/>
              </w:rPr>
              <w:t>4500</w:t>
            </w:r>
            <w:r>
              <w:rPr>
                <w:rFonts w:hint="eastAsia" w:eastAsia="仿宋_GB2312"/>
                <w:sz w:val="24"/>
                <w:szCs w:val="24"/>
                <w:lang w:eastAsia="zh-CN"/>
              </w:rPr>
              <w:t>份</w:t>
            </w:r>
          </w:p>
        </w:tc>
        <w:tc>
          <w:tcPr>
            <w:tcW w:w="1310" w:type="dxa"/>
            <w:vMerge w:val="restart"/>
            <w:noWrap w:val="0"/>
            <w:vAlign w:val="center"/>
          </w:tcPr>
          <w:p w14:paraId="70232EC1">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24"/>
              </w:rPr>
            </w:pPr>
            <w:r>
              <w:rPr>
                <w:rFonts w:hint="eastAsia" w:eastAsia="仿宋_GB2312"/>
                <w:sz w:val="24"/>
                <w:szCs w:val="24"/>
              </w:rPr>
              <w:t>数量</w:t>
            </w:r>
            <w:r>
              <w:rPr>
                <w:rFonts w:eastAsia="仿宋_GB2312"/>
                <w:sz w:val="24"/>
                <w:szCs w:val="24"/>
              </w:rPr>
              <w:t>以入场</w:t>
            </w:r>
            <w:r>
              <w:rPr>
                <w:rFonts w:hint="eastAsia" w:eastAsia="仿宋_GB2312"/>
                <w:sz w:val="24"/>
                <w:szCs w:val="24"/>
              </w:rPr>
              <w:t>后</w:t>
            </w:r>
            <w:r>
              <w:rPr>
                <w:rFonts w:eastAsia="仿宋_GB2312"/>
                <w:sz w:val="24"/>
                <w:szCs w:val="24"/>
              </w:rPr>
              <w:t>实际工作为准。</w:t>
            </w:r>
          </w:p>
          <w:p w14:paraId="33B77A4E">
            <w:pPr>
              <w:keepNext w:val="0"/>
              <w:keepLines w:val="0"/>
              <w:pageBreakBefore w:val="0"/>
              <w:widowControl w:val="0"/>
              <w:kinsoku/>
              <w:wordWrap/>
              <w:overflowPunct/>
              <w:topLinePunct w:val="0"/>
              <w:autoSpaceDE/>
              <w:autoSpaceDN/>
              <w:bidi w:val="0"/>
              <w:adjustRightInd/>
              <w:snapToGrid/>
              <w:spacing w:line="320" w:lineRule="exact"/>
              <w:textAlignment w:val="auto"/>
              <w:rPr>
                <w:rFonts w:eastAsia="仿宋_GB2312"/>
                <w:sz w:val="24"/>
                <w:szCs w:val="24"/>
              </w:rPr>
            </w:pPr>
          </w:p>
        </w:tc>
      </w:tr>
      <w:tr w14:paraId="10DF3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noWrap w:val="0"/>
            <w:vAlign w:val="center"/>
          </w:tcPr>
          <w:p w14:paraId="361B2B8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r>
              <w:rPr>
                <w:rFonts w:hint="eastAsia" w:eastAsia="仿宋_GB2312"/>
                <w:sz w:val="24"/>
                <w:szCs w:val="24"/>
              </w:rPr>
              <w:t>2</w:t>
            </w:r>
          </w:p>
        </w:tc>
        <w:tc>
          <w:tcPr>
            <w:tcW w:w="1377" w:type="dxa"/>
            <w:noWrap w:val="0"/>
            <w:vAlign w:val="center"/>
          </w:tcPr>
          <w:p w14:paraId="3B10C80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r>
              <w:rPr>
                <w:rFonts w:eastAsia="仿宋_GB2312"/>
                <w:color w:val="000000"/>
                <w:kern w:val="0"/>
                <w:sz w:val="24"/>
                <w:szCs w:val="24"/>
              </w:rPr>
              <w:t>会计</w:t>
            </w:r>
            <w:r>
              <w:rPr>
                <w:rFonts w:hint="eastAsia" w:eastAsia="仿宋_GB2312"/>
                <w:color w:val="000000"/>
                <w:kern w:val="0"/>
                <w:sz w:val="24"/>
                <w:szCs w:val="24"/>
              </w:rPr>
              <w:t>档案</w:t>
            </w:r>
          </w:p>
        </w:tc>
        <w:tc>
          <w:tcPr>
            <w:tcW w:w="4910" w:type="dxa"/>
            <w:vMerge w:val="continue"/>
            <w:noWrap w:val="0"/>
            <w:vAlign w:val="center"/>
          </w:tcPr>
          <w:p w14:paraId="5E669E7C">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p>
        </w:tc>
        <w:tc>
          <w:tcPr>
            <w:tcW w:w="1554" w:type="dxa"/>
            <w:noWrap w:val="0"/>
            <w:vAlign w:val="center"/>
          </w:tcPr>
          <w:p w14:paraId="0A24F4F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r>
              <w:rPr>
                <w:rFonts w:eastAsia="仿宋_GB2312"/>
                <w:sz w:val="24"/>
                <w:szCs w:val="24"/>
              </w:rPr>
              <w:t>约</w:t>
            </w:r>
            <w:r>
              <w:rPr>
                <w:rFonts w:hint="eastAsia" w:eastAsia="仿宋_GB2312"/>
                <w:sz w:val="24"/>
                <w:szCs w:val="24"/>
                <w:lang w:val="en-US" w:eastAsia="zh-CN"/>
              </w:rPr>
              <w:t>5</w:t>
            </w:r>
            <w:r>
              <w:rPr>
                <w:rFonts w:eastAsia="仿宋_GB2312"/>
                <w:sz w:val="24"/>
                <w:szCs w:val="24"/>
              </w:rPr>
              <w:t>卷</w:t>
            </w:r>
          </w:p>
        </w:tc>
        <w:tc>
          <w:tcPr>
            <w:tcW w:w="1310" w:type="dxa"/>
            <w:vMerge w:val="continue"/>
            <w:noWrap w:val="0"/>
            <w:vAlign w:val="center"/>
          </w:tcPr>
          <w:p w14:paraId="2BCBAB33">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r>
      <w:tr w14:paraId="0B6A4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noWrap w:val="0"/>
            <w:vAlign w:val="center"/>
          </w:tcPr>
          <w:p w14:paraId="7C3F68E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3</w:t>
            </w:r>
          </w:p>
        </w:tc>
        <w:tc>
          <w:tcPr>
            <w:tcW w:w="1377" w:type="dxa"/>
            <w:noWrap w:val="0"/>
            <w:vAlign w:val="center"/>
          </w:tcPr>
          <w:p w14:paraId="0D68E4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color w:val="000000"/>
                <w:kern w:val="0"/>
                <w:sz w:val="24"/>
                <w:szCs w:val="24"/>
              </w:rPr>
            </w:pPr>
            <w:r>
              <w:rPr>
                <w:rFonts w:eastAsia="仿宋_GB2312"/>
                <w:color w:val="000000"/>
                <w:kern w:val="0"/>
                <w:sz w:val="24"/>
                <w:szCs w:val="24"/>
              </w:rPr>
              <w:t>采购档案</w:t>
            </w:r>
          </w:p>
        </w:tc>
        <w:tc>
          <w:tcPr>
            <w:tcW w:w="4910" w:type="dxa"/>
            <w:vMerge w:val="continue"/>
            <w:noWrap w:val="0"/>
            <w:vAlign w:val="center"/>
          </w:tcPr>
          <w:p w14:paraId="00B76395">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eastAsia="仿宋_GB2312"/>
                <w:sz w:val="24"/>
                <w:szCs w:val="24"/>
              </w:rPr>
            </w:pPr>
          </w:p>
        </w:tc>
        <w:tc>
          <w:tcPr>
            <w:tcW w:w="1554" w:type="dxa"/>
            <w:noWrap w:val="0"/>
            <w:vAlign w:val="center"/>
          </w:tcPr>
          <w:p w14:paraId="01179A7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r>
              <w:rPr>
                <w:rFonts w:eastAsia="仿宋_GB2312"/>
                <w:sz w:val="24"/>
                <w:szCs w:val="24"/>
              </w:rPr>
              <w:t>约</w:t>
            </w:r>
            <w:r>
              <w:rPr>
                <w:rFonts w:hint="eastAsia" w:eastAsia="仿宋_GB2312"/>
                <w:sz w:val="24"/>
                <w:szCs w:val="24"/>
                <w:lang w:val="en-US" w:eastAsia="zh-CN"/>
              </w:rPr>
              <w:t>30</w:t>
            </w:r>
            <w:r>
              <w:rPr>
                <w:rFonts w:hint="eastAsia" w:eastAsia="仿宋_GB2312"/>
                <w:sz w:val="24"/>
                <w:szCs w:val="24"/>
              </w:rPr>
              <w:t>套</w:t>
            </w:r>
          </w:p>
        </w:tc>
        <w:tc>
          <w:tcPr>
            <w:tcW w:w="1310" w:type="dxa"/>
            <w:vMerge w:val="continue"/>
            <w:noWrap w:val="0"/>
            <w:vAlign w:val="center"/>
          </w:tcPr>
          <w:p w14:paraId="72CE600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r>
      <w:tr w14:paraId="78C2A3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6" w:type="dxa"/>
            <w:noWrap w:val="0"/>
            <w:vAlign w:val="center"/>
          </w:tcPr>
          <w:p w14:paraId="7A39FBF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仿宋_GB2312"/>
                <w:sz w:val="24"/>
                <w:szCs w:val="24"/>
                <w:lang w:val="en-US" w:eastAsia="zh-CN"/>
              </w:rPr>
            </w:pPr>
            <w:r>
              <w:rPr>
                <w:rFonts w:hint="eastAsia" w:eastAsia="仿宋_GB2312"/>
                <w:sz w:val="24"/>
                <w:szCs w:val="24"/>
                <w:lang w:val="en-US" w:eastAsia="zh-CN"/>
              </w:rPr>
              <w:t>4</w:t>
            </w:r>
          </w:p>
        </w:tc>
        <w:tc>
          <w:tcPr>
            <w:tcW w:w="1377" w:type="dxa"/>
            <w:noWrap w:val="0"/>
            <w:vAlign w:val="center"/>
          </w:tcPr>
          <w:p w14:paraId="6A817E9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lang w:eastAsia="zh-CN"/>
              </w:rPr>
              <w:t>档案管理系统配置</w:t>
            </w:r>
          </w:p>
        </w:tc>
        <w:tc>
          <w:tcPr>
            <w:tcW w:w="4910" w:type="dxa"/>
            <w:noWrap w:val="0"/>
            <w:vAlign w:val="center"/>
          </w:tcPr>
          <w:p w14:paraId="35D28F3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cs="Times New Roman"/>
                <w:color w:val="000000"/>
                <w:kern w:val="0"/>
                <w:sz w:val="24"/>
                <w:szCs w:val="24"/>
              </w:rPr>
            </w:pPr>
            <w:r>
              <w:rPr>
                <w:rFonts w:hint="eastAsia" w:ascii="Times New Roman" w:hAnsi="Times New Roman" w:eastAsia="仿宋_GB2312" w:cs="Times New Roman"/>
                <w:color w:val="000000"/>
                <w:kern w:val="0"/>
                <w:sz w:val="24"/>
                <w:szCs w:val="24"/>
              </w:rPr>
              <w:t>功能满足全文检索</w:t>
            </w:r>
            <w:r>
              <w:rPr>
                <w:rFonts w:hint="eastAsia" w:ascii="Times New Roman" w:hAnsi="Times New Roman" w:eastAsia="仿宋_GB2312" w:cs="Times New Roman"/>
                <w:color w:val="000000"/>
                <w:kern w:val="0"/>
                <w:sz w:val="24"/>
                <w:szCs w:val="24"/>
                <w:lang w:eastAsia="zh-CN"/>
              </w:rPr>
              <w:t>，</w:t>
            </w:r>
            <w:r>
              <w:rPr>
                <w:rFonts w:hint="eastAsia" w:ascii="Times New Roman" w:hAnsi="Times New Roman" w:eastAsia="仿宋_GB2312" w:cs="Times New Roman"/>
                <w:color w:val="000000"/>
                <w:kern w:val="0"/>
                <w:sz w:val="24"/>
                <w:szCs w:val="24"/>
              </w:rPr>
              <w:t>数字化文件以双层PDF格式提交</w:t>
            </w:r>
            <w:r>
              <w:rPr>
                <w:rFonts w:hint="eastAsia" w:ascii="Times New Roman" w:hAnsi="Times New Roman" w:eastAsia="仿宋_GB2312" w:cs="Times New Roman"/>
                <w:color w:val="000000"/>
                <w:kern w:val="0"/>
                <w:sz w:val="24"/>
                <w:szCs w:val="24"/>
                <w:lang w:eastAsia="zh-CN"/>
              </w:rPr>
              <w:t>。</w:t>
            </w:r>
          </w:p>
        </w:tc>
        <w:tc>
          <w:tcPr>
            <w:tcW w:w="1554" w:type="dxa"/>
            <w:noWrap w:val="0"/>
            <w:vAlign w:val="center"/>
          </w:tcPr>
          <w:p w14:paraId="02805B0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c>
          <w:tcPr>
            <w:tcW w:w="1310" w:type="dxa"/>
            <w:noWrap w:val="0"/>
            <w:vAlign w:val="center"/>
          </w:tcPr>
          <w:p w14:paraId="0D6AC31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eastAsia="仿宋_GB2312"/>
                <w:sz w:val="24"/>
                <w:szCs w:val="24"/>
              </w:rPr>
            </w:pPr>
          </w:p>
        </w:tc>
      </w:tr>
    </w:tbl>
    <w:p w14:paraId="1C4791D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黑体"/>
          <w:sz w:val="32"/>
          <w:szCs w:val="32"/>
        </w:rPr>
      </w:pPr>
      <w:r>
        <w:rPr>
          <w:rFonts w:hint="eastAsia" w:eastAsia="黑体"/>
          <w:sz w:val="32"/>
          <w:szCs w:val="32"/>
        </w:rPr>
        <w:t>六</w:t>
      </w:r>
      <w:r>
        <w:rPr>
          <w:rFonts w:eastAsia="黑体"/>
          <w:sz w:val="32"/>
          <w:szCs w:val="32"/>
        </w:rPr>
        <w:t>、项目完成时间</w:t>
      </w:r>
    </w:p>
    <w:p w14:paraId="0E45B6C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自合同签订之日起至202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日前完成。</w:t>
      </w:r>
    </w:p>
    <w:p w14:paraId="0F03583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黑体"/>
          <w:sz w:val="32"/>
          <w:szCs w:val="32"/>
        </w:rPr>
      </w:pPr>
      <w:r>
        <w:rPr>
          <w:rFonts w:hint="eastAsia" w:hAnsi="黑体" w:eastAsia="黑体"/>
          <w:sz w:val="32"/>
          <w:szCs w:val="32"/>
        </w:rPr>
        <w:t>七</w:t>
      </w:r>
      <w:r>
        <w:rPr>
          <w:rFonts w:hAnsi="黑体" w:eastAsia="黑体"/>
          <w:sz w:val="32"/>
          <w:szCs w:val="32"/>
        </w:rPr>
        <w:t>、供应商资格及相关要求</w:t>
      </w:r>
    </w:p>
    <w:p w14:paraId="78E3342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ascii="仿宋_GB2312" w:eastAsia="仿宋_GB2312"/>
          <w:sz w:val="32"/>
          <w:szCs w:val="32"/>
        </w:rPr>
        <w:t>（一）服务机构的基本条件。</w:t>
      </w:r>
    </w:p>
    <w:p w14:paraId="6EDB46A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ascii="仿宋_GB2312" w:eastAsia="仿宋_GB2312"/>
          <w:sz w:val="32"/>
          <w:szCs w:val="32"/>
        </w:rPr>
        <w:t>1.符合《中华人民共和国政府采购法》第二十二条所规定的条件。</w:t>
      </w:r>
    </w:p>
    <w:p w14:paraId="0E01063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ascii="仿宋_GB2312" w:eastAsia="仿宋_GB2312"/>
          <w:sz w:val="32"/>
          <w:szCs w:val="32"/>
        </w:rPr>
        <w:t>2.依法依规成立的国内独立企业法人或事业单位法人、社会团体等。</w:t>
      </w:r>
    </w:p>
    <w:p w14:paraId="0BA4B71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ascii="仿宋_GB2312" w:eastAsia="仿宋_GB2312"/>
          <w:sz w:val="32"/>
          <w:szCs w:val="32"/>
        </w:rPr>
        <w:t>3.未被列入“信用中国”网站中“记录失信被执行人或重大税收违法案件当事人名单或政府采购严重违法失信行为”的记录名单；不处于“中国政府采购网”中“政府采购严重违法失信行为信息记录”的禁止参加政府采购活动期间。　</w:t>
      </w:r>
    </w:p>
    <w:p w14:paraId="4B6ACF1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ascii="仿宋_GB2312" w:eastAsia="仿宋_GB2312"/>
          <w:sz w:val="32"/>
          <w:szCs w:val="32"/>
        </w:rPr>
        <w:t>（二）服务机构的专业技术要求。</w:t>
      </w:r>
    </w:p>
    <w:p w14:paraId="19EF7BF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ascii="仿宋_GB2312" w:eastAsia="仿宋_GB2312"/>
          <w:sz w:val="32"/>
          <w:szCs w:val="32"/>
        </w:rPr>
        <w:t>1.经营范围涉及档案管理服务或档案管理技术服务等方面。</w:t>
      </w:r>
    </w:p>
    <w:p w14:paraId="4016924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ascii="仿宋_GB2312" w:eastAsia="仿宋_GB2312"/>
          <w:sz w:val="32"/>
          <w:szCs w:val="32"/>
        </w:rPr>
        <w:t>2.在广州市档案行政管理部门进行了档案中介服务机构备案，并取得《档案中介服务机构备案回执》。</w:t>
      </w:r>
    </w:p>
    <w:p w14:paraId="320160A9">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ascii="仿宋_GB2312" w:eastAsia="仿宋_GB2312"/>
          <w:sz w:val="32"/>
          <w:szCs w:val="32"/>
        </w:rPr>
        <w:t>3.在项目实施过程中根据项目内容及进度提供一支人员相对稳定、档案整理经验丰富、保密意识强的驻点服务团队，团队负责人应具备相应的管理能力和档案行业工作经验（提供驻点服务团队介绍及证明材料）。</w:t>
      </w:r>
    </w:p>
    <w:p w14:paraId="6FE4C5D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仿宋_GB2312" w:eastAsia="仿宋_GB2312"/>
          <w:sz w:val="32"/>
          <w:szCs w:val="32"/>
        </w:rPr>
      </w:pPr>
      <w:r>
        <w:rPr>
          <w:rFonts w:ascii="仿宋_GB2312" w:eastAsia="仿宋_GB2312"/>
          <w:sz w:val="32"/>
          <w:szCs w:val="32"/>
        </w:rPr>
        <w:t>4.驻点服务团队技术人员具有广州市档案行政管理部门颁发的《档案专业人员岗位资格培训证书》。</w:t>
      </w:r>
    </w:p>
    <w:p w14:paraId="6224DDC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ascii="仿宋_GB2312" w:eastAsia="仿宋_GB2312"/>
          <w:sz w:val="32"/>
          <w:szCs w:val="32"/>
        </w:rPr>
        <w:t>5.</w:t>
      </w:r>
      <w:r>
        <w:rPr>
          <w:rFonts w:hint="eastAsia" w:ascii="Times New Roman" w:hAnsi="Times New Roman" w:eastAsia="仿宋_GB2312"/>
          <w:color w:val="102401"/>
          <w:sz w:val="32"/>
          <w:szCs w:val="32"/>
          <w:lang w:eastAsia="zh-CN"/>
        </w:rPr>
        <w:t>服务机构必须</w:t>
      </w:r>
      <w:r>
        <w:rPr>
          <w:rFonts w:hint="eastAsia" w:ascii="仿宋_GB2312" w:eastAsia="仿宋_GB2312"/>
          <w:sz w:val="32"/>
          <w:szCs w:val="32"/>
          <w:lang w:eastAsia="zh-CN"/>
        </w:rPr>
        <w:t>具有国家相关机构颁发的相关保密资质证书，</w:t>
      </w:r>
      <w:r>
        <w:rPr>
          <w:rFonts w:ascii="仿宋_GB2312" w:eastAsia="仿宋_GB2312"/>
          <w:sz w:val="32"/>
          <w:szCs w:val="32"/>
        </w:rPr>
        <w:t>必须承诺对开展项目服务过程中接触到的各类档案及各种文件资料等严格保密，不得以任何形式、通过任何渠道用作与本项目无关的其</w:t>
      </w:r>
      <w:r>
        <w:rPr>
          <w:rFonts w:hint="eastAsia" w:ascii="仿宋_GB2312" w:hAnsi="仿宋_GB2312" w:eastAsia="仿宋_GB2312" w:cs="仿宋_GB2312"/>
          <w:sz w:val="32"/>
          <w:szCs w:val="32"/>
        </w:rPr>
        <w:t>他用途或向任何第三方披露。</w:t>
      </w:r>
    </w:p>
    <w:p w14:paraId="6D0846A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 有承担机关事业单位档案整理及相关项目经验者优先（提供以往承接相关项目经验的证明资料）。</w:t>
      </w:r>
    </w:p>
    <w:p w14:paraId="159E43B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（三）其他要求</w:t>
      </w:r>
    </w:p>
    <w:p w14:paraId="1A5D2932">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楷体"/>
          <w:sz w:val="32"/>
          <w:szCs w:val="32"/>
        </w:rPr>
      </w:pPr>
      <w:r>
        <w:rPr>
          <w:rFonts w:eastAsia="楷体"/>
          <w:sz w:val="32"/>
          <w:szCs w:val="32"/>
        </w:rPr>
        <w:t>1.</w:t>
      </w:r>
      <w:r>
        <w:rPr>
          <w:rFonts w:hint="eastAsia" w:eastAsia="楷体"/>
          <w:sz w:val="32"/>
          <w:szCs w:val="32"/>
        </w:rPr>
        <w:t>档案</w:t>
      </w:r>
      <w:r>
        <w:rPr>
          <w:rFonts w:eastAsia="楷体"/>
          <w:sz w:val="32"/>
          <w:szCs w:val="32"/>
        </w:rPr>
        <w:t>耗材。</w:t>
      </w:r>
    </w:p>
    <w:p w14:paraId="71A6167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档案盒、彩页纸、标签、目录夹、文具用品等均由服务机构负责。</w:t>
      </w:r>
    </w:p>
    <w:p w14:paraId="3AC3063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楷体"/>
          <w:sz w:val="32"/>
          <w:szCs w:val="32"/>
        </w:rPr>
      </w:pPr>
      <w:r>
        <w:rPr>
          <w:rFonts w:eastAsia="楷体"/>
          <w:sz w:val="32"/>
          <w:szCs w:val="32"/>
        </w:rPr>
        <w:t>2.</w:t>
      </w:r>
      <w:r>
        <w:rPr>
          <w:rFonts w:eastAsia="楷体"/>
        </w:rPr>
        <w:t xml:space="preserve"> </w:t>
      </w:r>
      <w:r>
        <w:rPr>
          <w:rFonts w:eastAsia="楷体"/>
          <w:sz w:val="32"/>
          <w:szCs w:val="32"/>
        </w:rPr>
        <w:t>售后服务。</w:t>
      </w:r>
    </w:p>
    <w:p w14:paraId="3E92BA7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仿宋_GB2312"/>
          <w:sz w:val="32"/>
          <w:szCs w:val="32"/>
        </w:rPr>
      </w:pPr>
      <w:r>
        <w:rPr>
          <w:rFonts w:eastAsia="仿宋_GB2312"/>
          <w:sz w:val="32"/>
          <w:szCs w:val="32"/>
        </w:rPr>
        <w:t>服务机构在项目验收后需提供壹年的维保服务。</w:t>
      </w:r>
    </w:p>
    <w:p w14:paraId="367B283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黑体"/>
          <w:sz w:val="32"/>
          <w:szCs w:val="32"/>
        </w:rPr>
      </w:pPr>
      <w:r>
        <w:rPr>
          <w:rFonts w:hint="eastAsia" w:eastAsia="黑体"/>
          <w:sz w:val="32"/>
          <w:szCs w:val="32"/>
        </w:rPr>
        <w:t>七</w:t>
      </w:r>
      <w:r>
        <w:rPr>
          <w:rFonts w:eastAsia="黑体"/>
          <w:sz w:val="32"/>
          <w:szCs w:val="32"/>
        </w:rPr>
        <w:t>、项目完成提交成果和验收</w:t>
      </w:r>
    </w:p>
    <w:p w14:paraId="65A6A13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楷体" w:hAnsi="楷体" w:eastAsia="楷体"/>
          <w:sz w:val="32"/>
          <w:szCs w:val="32"/>
        </w:rPr>
      </w:pPr>
      <w:r>
        <w:rPr>
          <w:rFonts w:ascii="楷体" w:hAnsi="楷体" w:eastAsia="楷体"/>
          <w:sz w:val="32"/>
          <w:szCs w:val="32"/>
        </w:rPr>
        <w:t>（一）项目提交成果。</w:t>
      </w:r>
    </w:p>
    <w:p w14:paraId="6773F18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1.提交已完成归档的各门类档案实体，符合国家档案整理规范标准及采购人要求，无档案损毁或丢失。</w:t>
      </w:r>
    </w:p>
    <w:p w14:paraId="778864A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2.各门类档案条目录入档案系统，提交按规范打印并装订的各门类档案目录。</w:t>
      </w:r>
    </w:p>
    <w:p w14:paraId="47FCAD2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3.其他相关工作提交对应的文件及资料成果。</w:t>
      </w:r>
    </w:p>
    <w:p w14:paraId="596BA1B4">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ascii="楷体" w:hAnsi="楷体" w:eastAsia="楷体"/>
          <w:sz w:val="32"/>
          <w:szCs w:val="32"/>
        </w:rPr>
      </w:pPr>
      <w:r>
        <w:rPr>
          <w:rFonts w:ascii="楷体" w:hAnsi="楷体" w:eastAsia="楷体"/>
          <w:sz w:val="32"/>
          <w:szCs w:val="32"/>
        </w:rPr>
        <w:t>（二）项目验收要求。</w:t>
      </w:r>
    </w:p>
    <w:p w14:paraId="6098FE0C">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采购人组织验收小组对档案实体、电子数据抽样甚至逐册检查，并签订项目验收报告作为档案整理完成的验收凭证。相关要求如下：</w:t>
      </w:r>
    </w:p>
    <w:p w14:paraId="49A6552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1.验收标准：按照国家档案管理等有关文件标准。</w:t>
      </w:r>
    </w:p>
    <w:p w14:paraId="6682A8C0">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2.确保在整理过程中不对档案原件造成二次损坏。</w:t>
      </w:r>
    </w:p>
    <w:p w14:paraId="0A67D5EF">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3.如未达到标准要求，服务机构需无条件整改直至验收合格，采购人不再支付额外费用。</w:t>
      </w:r>
    </w:p>
    <w:p w14:paraId="726ADE53">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eastAsia="黑体"/>
          <w:sz w:val="32"/>
          <w:szCs w:val="32"/>
        </w:rPr>
      </w:pPr>
      <w:r>
        <w:rPr>
          <w:rFonts w:hint="eastAsia" w:eastAsia="黑体"/>
          <w:sz w:val="32"/>
          <w:szCs w:val="32"/>
        </w:rPr>
        <w:t>八</w:t>
      </w:r>
      <w:r>
        <w:rPr>
          <w:rFonts w:eastAsia="黑体"/>
          <w:sz w:val="32"/>
          <w:szCs w:val="32"/>
        </w:rPr>
        <w:t>、确定服务机构原则</w:t>
      </w:r>
    </w:p>
    <w:p w14:paraId="0D80140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广州市固体废物管理中心组织对符合实质性响应要求的服务机构资质、服务质量、专业技能、价格进行</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比选后择优确定服务机构。</w:t>
      </w:r>
    </w:p>
    <w:p w14:paraId="5933F02E"/>
    <w:p w14:paraId="750D6F5C"/>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FE730A"/>
    <w:multiLevelType w:val="singleLevel"/>
    <w:tmpl w:val="55FE730A"/>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A51055"/>
    <w:rsid w:val="3BA510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2025-04-11T09:01:00Z</dcterms:created>
  <dc:creator>Miss Mayට</dc:creator>
  <cp:lastModifiedBy>Miss Mayට</cp:lastModifiedBy>
  <dcterms:modified xsi:type="dcterms:W3CDTF">2025-04-11T09:02:03Z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69BBDE1D94F246529754018066E0BF94_11</vt:lpwstr>
  </property>
  <property fmtid="{D5CDD505-2E9C-101B-9397-08002B2CF9AE}" pid="4" name="KSOTemplateDocerSaveRecord">
    <vt:lpwstr>eyJoZGlkIjoiMDIzNzA5YWMyZTdhN2U4M2I5ZTU3NDdkNWFhYTEwN2YiLCJ1c2VySWQiOiI0NDUxODY1NTgifQ==</vt:lpwstr>
  </property>
</Properties>
</file>