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899DB">
      <w:pPr>
        <w:pStyle w:val="3"/>
        <w:spacing w:line="560" w:lineRule="exact"/>
        <w:ind w:left="0" w:leftChars="0" w:firstLine="0" w:firstLineChars="0"/>
        <w:rPr>
          <w:rFonts w:hint="default" w:ascii="Times New Roman" w:hAnsi="Times New Roman" w:cs="Times New Roman"/>
          <w:color w:val="auto"/>
          <w:sz w:val="32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44"/>
          <w:lang w:val="en-US" w:eastAsia="zh-CN"/>
        </w:rPr>
        <w:t>附</w:t>
      </w:r>
      <w:r>
        <w:rPr>
          <w:rFonts w:hint="default" w:ascii="Times New Roman" w:hAnsi="Times New Roman" w:cs="Times New Roman"/>
          <w:color w:val="auto"/>
          <w:sz w:val="32"/>
          <w:szCs w:val="44"/>
          <w:lang w:eastAsia="zh-CN"/>
        </w:rPr>
        <w:t>件</w:t>
      </w:r>
      <w:r>
        <w:rPr>
          <w:rFonts w:hint="default" w:ascii="Times New Roman" w:hAnsi="Times New Roman" w:cs="Times New Roman"/>
          <w:color w:val="auto"/>
          <w:sz w:val="32"/>
          <w:szCs w:val="44"/>
          <w:lang w:val="en-US" w:eastAsia="zh-CN"/>
        </w:rPr>
        <w:t>1</w:t>
      </w:r>
    </w:p>
    <w:p w14:paraId="7072C3A5">
      <w:pPr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2A87F0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试点行业项目环境准入指引</w:t>
      </w:r>
    </w:p>
    <w:bookmarkEnd w:id="0"/>
    <w:p w14:paraId="4ABA7A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44"/>
          <w:lang w:val="en-US" w:eastAsia="zh-CN"/>
        </w:rPr>
      </w:pPr>
    </w:p>
    <w:tbl>
      <w:tblPr>
        <w:tblStyle w:val="5"/>
        <w:tblW w:w="140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691"/>
        <w:gridCol w:w="2175"/>
        <w:gridCol w:w="9460"/>
      </w:tblGrid>
      <w:tr w14:paraId="2997D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Header/>
        </w:trPr>
        <w:tc>
          <w:tcPr>
            <w:tcW w:w="6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A6CF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</w:rPr>
              <w:t>序号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373A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  <w:lang w:eastAsia="zh-CN"/>
              </w:rPr>
              <w:t>行业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</w:rPr>
              <w:t>类别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2903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</w:rPr>
              <w:t>取消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  <w:lang w:eastAsia="zh-CN"/>
              </w:rPr>
              <w:t>编制环境影响报告表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</w:rPr>
              <w:t>的项目类别</w:t>
            </w:r>
          </w:p>
        </w:tc>
        <w:tc>
          <w:tcPr>
            <w:tcW w:w="94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B38A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  <w:lang w:eastAsia="zh-CN"/>
              </w:rPr>
              <w:t>环境准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2"/>
                <w:lang w:val="en-US" w:eastAsia="zh-CN"/>
              </w:rPr>
              <w:t>入条件</w:t>
            </w:r>
          </w:p>
        </w:tc>
      </w:tr>
      <w:tr w14:paraId="7F1B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9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47EF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94E29">
            <w:pPr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木质家具制造211*；竹、藤家具制造212*；金属家具制造213*；塑料家具制造214*；其他家具制造219*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33F60">
            <w:pPr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取消年用非溶剂型低VOCs含量涂料10吨及以上的</w:t>
            </w:r>
          </w:p>
        </w:tc>
        <w:tc>
          <w:tcPr>
            <w:tcW w:w="9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BC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1.不在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法律法规规定禁止建设区域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内且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符合生态环境分区管控及规划环评要求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选址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时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可以通过“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广东省生态环境分区管控信息平台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”（https://www-app.gdeei.cn/l3a1/public/home-page/stat）进行查询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。</w:t>
            </w:r>
          </w:p>
          <w:p w14:paraId="634192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2.项目建设符合相关产业政策、法定规划。</w:t>
            </w:r>
          </w:p>
          <w:p w14:paraId="5D251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3.项目建设无需设置危险品仓储（项目配套的危险废物临时存放场所除外）、1吨/小时以上的天然气锅炉（不含本数）、工业废水处理设施（不含出水间接排放地表水体且不排放重金属的）。</w:t>
            </w:r>
          </w:p>
          <w:p w14:paraId="2A27D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4.项目不涉及《有毒有害大气污染物名录》《重点管控新污染物清单（2023年版）》中所列污染物排放。</w:t>
            </w:r>
          </w:p>
          <w:p w14:paraId="14C14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none"/>
                <w:lang w:val="en-US" w:eastAsia="zh-CN"/>
              </w:rPr>
              <w:t>5.生产使用的涂料产品满足《低挥发性有机化合物含量涂料产品技术要求》（GB/T38597-2020）。</w:t>
            </w:r>
          </w:p>
          <w:p w14:paraId="2F0A74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6.项目应采取先进高效的挥发性有机物收集、治理措施，禁止使用光催化、光氧化、水喷淋（吸收可溶性VOCs除外）、低温等离子等低效VOCs治理设施（恶臭处理除外），挥发性有机物排放满足《家具制造行业挥发性有机化合物排放标准》（DB44/814-2010）和《固定污染源挥发性有机物综合排放标准》（DB44 2367-2022）；开料、切割、打磨等过程产生的粉尘应采取有效的收集、除尘治理措施，颗粒物外排满足《大气污染物排放限值》（DB44/27-2001）；项目应采取有效的消声降噪措施，噪声排放满足《工业企业厂界环境噪声排放标准》（GB12348-2008）。</w:t>
            </w:r>
          </w:p>
        </w:tc>
      </w:tr>
      <w:tr w14:paraId="220AB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4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78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37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纸制品制造223*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1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取消所有报告表（本行业无报告书）</w:t>
            </w:r>
          </w:p>
        </w:tc>
        <w:tc>
          <w:tcPr>
            <w:tcW w:w="9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9A6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1.不在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法律法规规定禁止建设区域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内且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符合生态环境分区管控及规划环评要求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选址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时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可以通过“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广东省生态环境分区管控信息平台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”（https://www-app.gdeei.cn/l3a1/public/home-page/stat）进行查询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。</w:t>
            </w:r>
          </w:p>
          <w:p w14:paraId="52478C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2.项目建设符合相关产业政策、法定规划。</w:t>
            </w:r>
          </w:p>
          <w:p w14:paraId="5622D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3.项目建设无需设置危险品仓储（项目配套的危险废物临时存放场所除外）、1吨/小时以上的天然气锅炉（不含本数）、工业废水处理设施（不含出水间接排放地表水体且不排放重金属的）。</w:t>
            </w:r>
          </w:p>
          <w:p w14:paraId="68854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none"/>
                <w:lang w:val="en-US" w:eastAsia="zh-CN"/>
              </w:rPr>
              <w:t>生产使用的油墨、胶粘剂满足《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油墨中可挥发性有机化合物（VOCs）含量的限值》（GB 38507-2020）、《胶粘剂挥发性有机化合物限量》（GB 33372-2020）。</w:t>
            </w:r>
          </w:p>
          <w:p w14:paraId="59B7C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5.项目应采取先进高效的挥发性有机物收集、治理措施，禁止使用光催化、光氧化、水喷淋（吸收可溶性VOCs除外）、低温等离子等低效VOCs治理设施（恶臭处理除外），其中印刷工艺的挥发性有机物排放满足《印刷行业挥发性有机化合物排放标准》（DB 44/815-2010）和《印刷工业大气污染物排放标准》（GB 41616-2022）的较严者；其他工艺的挥发性有机物排放满足《固定污染源挥发性有机物综合排放标准》（DB44 2367-2022）；项目应采取有效的消声降噪措施，噪声排放满足《工业企业厂界环境噪声排放标准》（GB12348-2008）。</w:t>
            </w:r>
          </w:p>
        </w:tc>
      </w:tr>
      <w:tr w14:paraId="7498E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C7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1C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砖瓦、石材等建筑材料制造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303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B4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除利用（掺用）污水污泥掺烧制砖的之外，均取消</w:t>
            </w:r>
          </w:p>
        </w:tc>
        <w:tc>
          <w:tcPr>
            <w:tcW w:w="9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919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1.不在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法律法规规定禁止建设区域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内且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符合生态环境分区管控及规划环评要求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选址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时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可以通过“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广东省生态环境分区管控信息平台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”（https://www-app.gdeei.cn/l3a1/public/home-page/stat）进行查询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。</w:t>
            </w:r>
          </w:p>
          <w:p w14:paraId="69E56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2.项目建设符合相关产业政策、法定规划。</w:t>
            </w:r>
          </w:p>
          <w:p w14:paraId="5E20A2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3.项目建设无需设置危险品仓储（项目配套的危险废物临时存放场所除外）、1吨/小时以上的天然气锅炉（不含本数）、工业废水处理设施（不含出水间接排放地表水体且不排放重金属的）。</w:t>
            </w:r>
          </w:p>
          <w:p w14:paraId="4C434F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4.切割、打磨等过程产生的粉尘应采取有效的收集、除尘治理措施，外排废气满足《大气污染物排放限值》（DB44/27-2001）；项目应采取有效的消声降噪措施，噪声排放满足《工业企业厂界环境噪声排放标准》（GB12348-2008）。</w:t>
            </w:r>
          </w:p>
        </w:tc>
      </w:tr>
    </w:tbl>
    <w:p w14:paraId="700B2A0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B0B8F"/>
    <w:rsid w:val="279B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suppressAutoHyphens/>
      <w:ind w:left="210"/>
    </w:pPr>
    <w:rPr>
      <w:rFonts w:ascii="Times New Roman" w:hAnsi="Times New Roman" w:eastAsia="宋体" w:cs="Times New Roman"/>
      <w:smallCaps/>
      <w:sz w:val="21"/>
      <w:lang w:val="en-US" w:eastAsia="zh-CN" w:bidi="ar-SA"/>
    </w:rPr>
  </w:style>
  <w:style w:type="paragraph" w:styleId="3">
    <w:name w:val="caption"/>
    <w:basedOn w:val="1"/>
    <w:next w:val="1"/>
    <w:unhideWhenUsed/>
    <w:qFormat/>
    <w:uiPriority w:val="0"/>
    <w:pPr>
      <w:adjustRightInd w:val="0"/>
      <w:snapToGrid/>
      <w:spacing w:line="570" w:lineRule="exact"/>
      <w:ind w:firstLine="640" w:firstLineChars="200"/>
      <w:jc w:val="left"/>
    </w:pPr>
    <w:rPr>
      <w:rFonts w:ascii="Arial" w:hAnsi="Arial" w:eastAsia="黑体" w:cs="Times New Roman"/>
      <w:sz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2025-03-04T01:52:00Z</dcterms:created>
  <dc:creator>Miss Mayට</dc:creator>
  <cp:lastModifiedBy>Miss Mayට</cp:lastModifiedBy>
  <dcterms:modified xsi:type="dcterms:W3CDTF">2025-03-04T01:53:00Z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FDE7F857612D41FE94F8E87036CBB8E9_11</vt:lpwstr>
  </property>
  <property fmtid="{D5CDD505-2E9C-101B-9397-08002B2CF9AE}" pid="4" name="KSOTemplateDocerSaveRecord">
    <vt:lpwstr>eyJoZGlkIjoiMDIzNzA5YWMyZTdhN2U4M2I5ZTU3NDdkNWFhYTEwN2YiLCJ1c2VySWQiOiI0NDUxODY1NTgifQ==</vt:lpwstr>
  </property>
</Properties>
</file>