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E9E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393" w:leftChars="100" w:right="-200" w:rightChars="-100" w:hanging="193" w:hangingChars="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广州市环境技术中心（广州市水与海洋环境监测站）长租车租赁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采购需求说明书</w:t>
      </w:r>
    </w:p>
    <w:p w14:paraId="5CA1130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Verdana" w:hAnsi="Verdana"/>
          <w:sz w:val="22"/>
          <w:lang w:val="en-US" w:eastAsia="zh-CN"/>
        </w:rPr>
      </w:pPr>
    </w:p>
    <w:p w14:paraId="7644512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640" w:firstLineChars="200"/>
        <w:textAlignment w:val="auto"/>
        <w:rPr>
          <w:rFonts w:hint="eastAsia" w:ascii="Verdana" w:hAnsi="Verdan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一、采购需求内容</w:t>
      </w:r>
    </w:p>
    <w:p w14:paraId="2207716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（一）服务地址</w:t>
      </w:r>
    </w:p>
    <w:p w14:paraId="08F9D16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广州市海珠区滨江西路海鸣街6号</w:t>
      </w:r>
    </w:p>
    <w:p w14:paraId="0E6DB52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（二）服务时间</w:t>
      </w:r>
    </w:p>
    <w:p w14:paraId="0C41BC7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合同生效之日起三年</w:t>
      </w:r>
    </w:p>
    <w:p w14:paraId="4A275CB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三）委托服务内容</w:t>
      </w:r>
    </w:p>
    <w:p w14:paraId="6BDE4D5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供应商提供1台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车辆在合同履行期限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内固定交由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全天候（含节假日）占有、使用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5347B9DB">
      <w:pPr>
        <w:pStyle w:val="10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right="86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二、服务要求</w:t>
      </w:r>
    </w:p>
    <w:p w14:paraId="770462FD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（一）车辆要求</w:t>
      </w:r>
    </w:p>
    <w:p w14:paraId="1BEAA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我国国内生产的自主品牌汽车或中外合资品牌的新能源汽车，且购车价格、排气量符合国家</w:t>
      </w:r>
      <w:r>
        <w:rPr>
          <w:rFonts w:hint="eastAsia" w:eastAsia="仿宋_GB2312" w:cs="Times New Roman"/>
          <w:sz w:val="32"/>
          <w:szCs w:val="32"/>
          <w:lang w:eastAsia="zh-CN"/>
        </w:rPr>
        <w:t>《党政机关公务用车管理办法》等有关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B76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租赁车辆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固定停放在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或其他指定地点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管理规定喷涂统一标识，并提供、安装ETC及安装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符合财政及工业和信息化部门有关采购目录要求的北斗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车载定位终端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租赁期结束后，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负责清除租赁车辆喷涂标识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拆除车载定位终端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，并将处理情况反馈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CB6E1CC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车辆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指标参数表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6855"/>
      </w:tblGrid>
      <w:tr w14:paraId="1118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top"/>
          </w:tcPr>
          <w:p w14:paraId="11BC231B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指标项</w:t>
            </w:r>
          </w:p>
        </w:tc>
        <w:tc>
          <w:tcPr>
            <w:tcW w:w="6855" w:type="dxa"/>
            <w:noWrap w:val="0"/>
            <w:vAlign w:val="top"/>
          </w:tcPr>
          <w:p w14:paraId="4B0A5F64"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商务车（MPV）</w:t>
            </w:r>
          </w:p>
        </w:tc>
      </w:tr>
      <w:tr w14:paraId="4B11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5A20869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车况</w:t>
            </w:r>
          </w:p>
        </w:tc>
        <w:tc>
          <w:tcPr>
            <w:tcW w:w="6855" w:type="dxa"/>
            <w:noWrap w:val="0"/>
            <w:vAlign w:val="center"/>
          </w:tcPr>
          <w:p w14:paraId="17508B50">
            <w:pPr>
              <w:widowControl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车辆验收当天，车辆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总行驶里程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，且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无事故、无故障、无异响、无异味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 w14:paraId="71DB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476A47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车辆所有权</w:t>
            </w:r>
          </w:p>
        </w:tc>
        <w:tc>
          <w:tcPr>
            <w:tcW w:w="6855" w:type="dxa"/>
            <w:noWrap w:val="0"/>
            <w:vAlign w:val="center"/>
          </w:tcPr>
          <w:p w14:paraId="1E5E3DD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持有</w:t>
            </w:r>
          </w:p>
        </w:tc>
      </w:tr>
      <w:tr w14:paraId="22E5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07C4B83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车牌</w:t>
            </w:r>
          </w:p>
        </w:tc>
        <w:tc>
          <w:tcPr>
            <w:tcW w:w="6855" w:type="dxa"/>
            <w:noWrap w:val="0"/>
            <w:vAlign w:val="center"/>
          </w:tcPr>
          <w:p w14:paraId="0DC77C1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粤A绿牌</w:t>
            </w:r>
          </w:p>
        </w:tc>
      </w:tr>
      <w:tr w14:paraId="6390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16AD9F4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车身颜色</w:t>
            </w:r>
          </w:p>
        </w:tc>
        <w:tc>
          <w:tcPr>
            <w:tcW w:w="6855" w:type="dxa"/>
            <w:noWrap w:val="0"/>
            <w:vAlign w:val="center"/>
          </w:tcPr>
          <w:p w14:paraId="07A1344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白色、灰色或黑色</w:t>
            </w:r>
          </w:p>
        </w:tc>
      </w:tr>
      <w:tr w14:paraId="4213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1E79384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轴距</w:t>
            </w:r>
          </w:p>
        </w:tc>
        <w:tc>
          <w:tcPr>
            <w:tcW w:w="6855" w:type="dxa"/>
            <w:noWrap w:val="0"/>
            <w:vAlign w:val="center"/>
          </w:tcPr>
          <w:p w14:paraId="59B7119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0mm</w:t>
            </w:r>
          </w:p>
        </w:tc>
      </w:tr>
      <w:tr w14:paraId="4C76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206" w:type="dxa"/>
            <w:noWrap w:val="0"/>
            <w:vAlign w:val="center"/>
          </w:tcPr>
          <w:p w14:paraId="48BBC84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车门及座位</w:t>
            </w:r>
          </w:p>
        </w:tc>
        <w:tc>
          <w:tcPr>
            <w:tcW w:w="6855" w:type="dxa"/>
            <w:noWrap w:val="0"/>
            <w:vAlign w:val="center"/>
          </w:tcPr>
          <w:p w14:paraId="1F2D84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5门7座</w:t>
            </w:r>
          </w:p>
        </w:tc>
      </w:tr>
      <w:tr w14:paraId="6852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68BD5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纯电动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续驶里程（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NEDC或WLTC或CLTC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855" w:type="dxa"/>
            <w:noWrap w:val="0"/>
            <w:vAlign w:val="center"/>
          </w:tcPr>
          <w:p w14:paraId="158F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0km</w:t>
            </w:r>
          </w:p>
        </w:tc>
      </w:tr>
      <w:tr w14:paraId="03D9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06" w:type="dxa"/>
            <w:noWrap w:val="0"/>
            <w:vAlign w:val="center"/>
          </w:tcPr>
          <w:p w14:paraId="6DEC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其他类型的电池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续驶里程（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NEDC或WLTC或CLTC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855" w:type="dxa"/>
            <w:noWrap w:val="0"/>
            <w:vAlign w:val="center"/>
          </w:tcPr>
          <w:p w14:paraId="3F6CB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00km</w:t>
            </w:r>
          </w:p>
        </w:tc>
      </w:tr>
    </w:tbl>
    <w:p w14:paraId="2AC70D3A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服务响应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2148A516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应在广州市专门设立租赁服务团队，安排1名项目经理，设置并公布服务投诉电话，提供7×24小时的专人专线服务，及时响应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相应服务需求。在远程不能处理问题的情况下，必须在接到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通知后4小时内提供现场服务，实地解决问题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租赁期间解答用户疑问、解决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服务事项</w:t>
      </w:r>
      <w:r>
        <w:rPr>
          <w:rFonts w:hint="eastAsia" w:ascii="Times New Roman" w:hAnsi="Times New Roman" w:eastAsia="仿宋_GB2312"/>
          <w:sz w:val="32"/>
          <w:szCs w:val="32"/>
        </w:rPr>
        <w:t>、应急救援及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处置</w:t>
      </w:r>
      <w:r>
        <w:rPr>
          <w:rFonts w:hint="eastAsia" w:ascii="Times New Roman" w:hAnsi="Times New Roman" w:eastAsia="仿宋_GB2312"/>
          <w:sz w:val="32"/>
          <w:szCs w:val="32"/>
        </w:rPr>
        <w:t>投诉等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1B436ABB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供应商应安排专人负责财务结算等服务，负责人必须由供应商的在职人员担当，提供负责人职务、联系方式等信息，便于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与其进行联络。负责人在协议期内有人事变动，应当及时书面通知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0672587B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档案管理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1CA0E9ED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每月10日前，供应商应将上一月度租赁车辆的行驶里程、加油量、充电量，以及保养、维修、保险、年检、应急替换、故障退换、充电桩检修、充电、燃油、路桥、外勤停车等开销费用和服务记录（由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先行垫付的费用，按照真实票据进行记录）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，通过</w:t>
      </w:r>
      <w:r>
        <w:rPr>
          <w:rFonts w:hint="eastAsia" w:eastAsia="仿宋_GB2312"/>
          <w:sz w:val="32"/>
          <w:szCs w:val="32"/>
          <w:lang w:eastAsia="zh-CN"/>
        </w:rPr>
        <w:t>采购方指定的信息系统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提供给</w:t>
      </w:r>
      <w:r>
        <w:rPr>
          <w:rFonts w:hint="eastAsia" w:eastAsia="仿宋_GB2312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07406CA0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保密要求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0B08FF2D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应当遵守有关网络和信息安全管理的规定，不得将可能采集到的</w:t>
      </w:r>
      <w:r>
        <w:rPr>
          <w:rFonts w:hint="eastAsia" w:eastAsia="仿宋_GB2312"/>
          <w:sz w:val="32"/>
          <w:szCs w:val="32"/>
          <w:lang w:eastAsia="zh-CN"/>
        </w:rPr>
        <w:t>采购方有关</w:t>
      </w:r>
      <w:r>
        <w:rPr>
          <w:rFonts w:hint="eastAsia" w:ascii="Times New Roman" w:hAnsi="Times New Roman" w:eastAsia="仿宋_GB2312"/>
          <w:sz w:val="32"/>
          <w:szCs w:val="32"/>
        </w:rPr>
        <w:t>出行信息向第三方机构或人员提供。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及提供服务的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相关人员</w:t>
      </w:r>
      <w:r>
        <w:rPr>
          <w:rFonts w:hint="eastAsia" w:ascii="Times New Roman" w:hAnsi="Times New Roman" w:eastAsia="仿宋_GB2312"/>
          <w:sz w:val="32"/>
          <w:szCs w:val="32"/>
        </w:rPr>
        <w:t>应遵守政府信息保密工作要求，妥善保管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提供的一切工作资料及文档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，不得</w:t>
      </w:r>
      <w:r>
        <w:rPr>
          <w:rFonts w:hint="eastAsia" w:ascii="Times New Roman" w:hAnsi="Times New Roman" w:eastAsia="仿宋_GB2312"/>
          <w:sz w:val="32"/>
          <w:szCs w:val="32"/>
        </w:rPr>
        <w:t>擅自泄露、告知、公布、发表、出版、传授、转让给任何第三方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。供应商</w:t>
      </w:r>
      <w:r>
        <w:rPr>
          <w:rFonts w:hint="eastAsia" w:ascii="Times New Roman" w:hAnsi="Times New Roman" w:eastAsia="仿宋_GB2312"/>
          <w:sz w:val="32"/>
          <w:szCs w:val="32"/>
        </w:rPr>
        <w:t>或第三方不得在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长租车</w:t>
      </w:r>
      <w:r>
        <w:rPr>
          <w:rFonts w:hint="eastAsia" w:ascii="Times New Roman" w:hAnsi="Times New Roman" w:eastAsia="仿宋_GB2312"/>
          <w:sz w:val="32"/>
          <w:szCs w:val="32"/>
        </w:rPr>
        <w:t>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仿宋_GB2312"/>
          <w:sz w:val="32"/>
          <w:szCs w:val="32"/>
        </w:rPr>
        <w:t>装流量卡（SIM卡）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GPS定位器、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窃听窃照、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监听监控等可能涉及窃密泄密的任何设备或装置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7488F409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供应商违反保密要求，</w:t>
      </w:r>
      <w:r>
        <w:rPr>
          <w:rFonts w:hint="eastAsia" w:ascii="Times New Roman" w:hAnsi="Times New Roman" w:eastAsia="仿宋_GB2312"/>
          <w:sz w:val="32"/>
          <w:szCs w:val="32"/>
        </w:rPr>
        <w:t>造成严重后果的，</w:t>
      </w:r>
      <w:r>
        <w:rPr>
          <w:rFonts w:hint="eastAsia" w:eastAsia="仿宋_GB2312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/>
          <w:sz w:val="32"/>
          <w:szCs w:val="32"/>
        </w:rPr>
        <w:t>有权按照合同约定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解除合同</w:t>
      </w:r>
      <w:r>
        <w:rPr>
          <w:rFonts w:hint="eastAsia" w:ascii="Times New Roman" w:hAnsi="Times New Roman" w:eastAsia="仿宋_GB2312"/>
          <w:sz w:val="32"/>
          <w:szCs w:val="32"/>
        </w:rPr>
        <w:t>，同时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/>
          <w:sz w:val="32"/>
          <w:szCs w:val="32"/>
        </w:rPr>
        <w:t>应承担相应的法律责任和经济责任。</w:t>
      </w:r>
    </w:p>
    <w:p w14:paraId="54EBA39D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具体事项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394"/>
      </w:tblGrid>
      <w:tr w14:paraId="14F3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787" w:type="pct"/>
            <w:noWrap w:val="0"/>
            <w:vAlign w:val="top"/>
          </w:tcPr>
          <w:p w14:paraId="06CC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4212" w:type="pct"/>
            <w:noWrap w:val="0"/>
            <w:vAlign w:val="top"/>
          </w:tcPr>
          <w:p w14:paraId="1192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项目及要求</w:t>
            </w:r>
          </w:p>
        </w:tc>
      </w:tr>
      <w:tr w14:paraId="2B04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2277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年审</w:t>
            </w:r>
          </w:p>
        </w:tc>
        <w:tc>
          <w:tcPr>
            <w:tcW w:w="4212" w:type="pct"/>
            <w:noWrap w:val="0"/>
            <w:vAlign w:val="center"/>
          </w:tcPr>
          <w:p w14:paraId="0AE9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负责上门提取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，并负责办理年检事务。</w:t>
            </w:r>
          </w:p>
        </w:tc>
      </w:tr>
      <w:tr w14:paraId="11BE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3838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保险</w:t>
            </w:r>
          </w:p>
        </w:tc>
        <w:tc>
          <w:tcPr>
            <w:tcW w:w="4212" w:type="pct"/>
            <w:noWrap w:val="0"/>
            <w:vAlign w:val="center"/>
          </w:tcPr>
          <w:p w14:paraId="633E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负责办理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保险及事故理赔等事务，险种至少包含：机动车交通事故责任强制保险（交强险）、车辆损失险、机动车第三者责任险（保额不低于200万元人民币）、承运人责任险或机动车车上人员责任保险（含驾驶人和乘客，每座不低于5万元人民币）。</w:t>
            </w:r>
          </w:p>
        </w:tc>
      </w:tr>
      <w:tr w14:paraId="06AF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3D70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维修</w:t>
            </w:r>
          </w:p>
        </w:tc>
        <w:tc>
          <w:tcPr>
            <w:tcW w:w="4212" w:type="pct"/>
            <w:noWrap w:val="0"/>
            <w:vAlign w:val="center"/>
          </w:tcPr>
          <w:p w14:paraId="62F6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应及时响应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采购方租赁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维修需求，在收到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需求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4小时内上门提取车辆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并进行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维修。</w:t>
            </w:r>
          </w:p>
          <w:p w14:paraId="7360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应按不少于10%的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所需易损件数量，建立车辆易损件备品库，根据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需求，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在3日内无条件为租赁车辆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更换车辆易损件。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易损件包括但不限于：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空气滤清器、机油滤清器、燃油滤清器、空调滤清器、火花塞、刹车片、轮胎、车灯、雨刮片、排气管、蓄电池、真皮座椅、保险丝、灯泡、喇叭、转向拉杆、发动机正时皮带、悬架控制壁胶套、减震器、制动液、变速箱油、离合器片。</w:t>
            </w:r>
          </w:p>
        </w:tc>
      </w:tr>
      <w:tr w14:paraId="0FD7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2763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保养</w:t>
            </w:r>
          </w:p>
        </w:tc>
        <w:tc>
          <w:tcPr>
            <w:tcW w:w="4212" w:type="pct"/>
            <w:noWrap w:val="0"/>
            <w:vAlign w:val="center"/>
          </w:tcPr>
          <w:p w14:paraId="2D88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维护保养管理规范，有专业固定的维修保养定点场所。</w:t>
            </w:r>
          </w:p>
          <w:p w14:paraId="0347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供应商应按照行业标准制订完善的租赁车辆保养计划，上门提取车辆并进行全身保养及车况检查，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出具书面情况报告送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留存。</w:t>
            </w:r>
          </w:p>
        </w:tc>
      </w:tr>
      <w:tr w14:paraId="71D6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0BC7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清洗</w:t>
            </w:r>
          </w:p>
        </w:tc>
        <w:tc>
          <w:tcPr>
            <w:tcW w:w="4212" w:type="pct"/>
            <w:noWrap w:val="0"/>
            <w:vAlign w:val="center"/>
          </w:tcPr>
          <w:p w14:paraId="00C7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具体由采购方与供应商协商约定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0B0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43F6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喷涂</w:t>
            </w:r>
          </w:p>
        </w:tc>
        <w:tc>
          <w:tcPr>
            <w:tcW w:w="4212" w:type="pct"/>
            <w:noWrap w:val="0"/>
            <w:vAlign w:val="center"/>
          </w:tcPr>
          <w:p w14:paraId="0C162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采购方要求，在车身喷涂、修改或清除标识。</w:t>
            </w:r>
          </w:p>
        </w:tc>
      </w:tr>
      <w:tr w14:paraId="2F71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5B87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车载定位终端</w:t>
            </w:r>
          </w:p>
        </w:tc>
        <w:tc>
          <w:tcPr>
            <w:tcW w:w="4212" w:type="pct"/>
            <w:noWrap w:val="0"/>
            <w:vAlign w:val="center"/>
          </w:tcPr>
          <w:p w14:paraId="051F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采购方要求，负责安装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拆除符合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财政及工业和信息化部门有关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采购目录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要求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车载定位终端。将终端相关数据接入采购方指定的信息系统。</w:t>
            </w:r>
          </w:p>
        </w:tc>
      </w:tr>
      <w:tr w14:paraId="371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012A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ETC</w:t>
            </w:r>
          </w:p>
        </w:tc>
        <w:tc>
          <w:tcPr>
            <w:tcW w:w="4212" w:type="pct"/>
            <w:noWrap w:val="0"/>
            <w:vAlign w:val="center"/>
          </w:tcPr>
          <w:p w14:paraId="693E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供应商为车辆安装符合有关规定的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ETC。</w:t>
            </w:r>
          </w:p>
        </w:tc>
      </w:tr>
      <w:tr w14:paraId="799C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39C4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充电桩</w:t>
            </w:r>
          </w:p>
        </w:tc>
        <w:tc>
          <w:tcPr>
            <w:tcW w:w="4212" w:type="pct"/>
            <w:noWrap w:val="0"/>
            <w:vAlign w:val="center"/>
          </w:tcPr>
          <w:p w14:paraId="173B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实际需要，按照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与充电桩1:1的比例，免费为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指定的地方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，配套安装可计算充电量的充电桩，并在租赁期内根据采购方反馈，于5日内提供免费检测维修。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充电桩所需场地、电源等必要条件由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承诺提供。</w:t>
            </w:r>
          </w:p>
        </w:tc>
      </w:tr>
      <w:tr w14:paraId="2DF6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87" w:type="pct"/>
            <w:noWrap w:val="0"/>
            <w:vAlign w:val="center"/>
          </w:tcPr>
          <w:p w14:paraId="21E1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充电</w:t>
            </w:r>
          </w:p>
        </w:tc>
        <w:tc>
          <w:tcPr>
            <w:tcW w:w="4212" w:type="pct"/>
            <w:noWrap w:val="0"/>
            <w:vAlign w:val="center"/>
          </w:tcPr>
          <w:p w14:paraId="6E55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采购方使用可计算充电量的充电桩，为租赁车辆充电。采购方使用充电桩无计费功能的，根据充电量与供应商进行协商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，在结算租金时按双方约定的标准扣除相应费用；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采购方使用充电桩有计费功能的，应使用供应商配套租赁车辆提供的电卡，为租赁车辆支付充电费。采购方承诺供应商提供的电卡仅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用于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合同内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租赁车辆。</w:t>
            </w:r>
          </w:p>
        </w:tc>
      </w:tr>
      <w:tr w14:paraId="2471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87" w:type="pct"/>
            <w:noWrap w:val="0"/>
            <w:vAlign w:val="center"/>
          </w:tcPr>
          <w:p w14:paraId="40A9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燃油</w:t>
            </w:r>
          </w:p>
        </w:tc>
        <w:tc>
          <w:tcPr>
            <w:tcW w:w="4212" w:type="pct"/>
            <w:noWrap w:val="0"/>
            <w:vAlign w:val="center"/>
          </w:tcPr>
          <w:p w14:paraId="761F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供应商应为租赁车辆提供油卡，并根据采购方要求，充入一定限额的费用，供采购方为租赁车辆支付加油费。采购方承诺供应商提供的油卡仅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用于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合同内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租赁车辆。</w:t>
            </w:r>
          </w:p>
        </w:tc>
      </w:tr>
      <w:tr w14:paraId="0B8C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1EADD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外勤停车等需采购方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先行垫付的运行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维护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费用</w:t>
            </w:r>
          </w:p>
        </w:tc>
        <w:tc>
          <w:tcPr>
            <w:tcW w:w="4212" w:type="pct"/>
            <w:noWrap w:val="0"/>
            <w:vAlign w:val="center"/>
          </w:tcPr>
          <w:p w14:paraId="6B61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发生需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先行垫付的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运行维护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费用（如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外勤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停车费），应在结算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费用时，经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审核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确认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后，将相应费用有效票据提供给供应商，由供应商确认并将相关费用据实支付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具体由采购方与供应商自行协商约定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供应商应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将费用记录及相应票据上传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到采购方指定的信息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系统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3E3E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4362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路桥</w:t>
            </w:r>
          </w:p>
        </w:tc>
        <w:tc>
          <w:tcPr>
            <w:tcW w:w="4212" w:type="pct"/>
            <w:noWrap w:val="0"/>
            <w:vAlign w:val="center"/>
          </w:tcPr>
          <w:p w14:paraId="394A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均由供应商安装ETC，路桥费直接由供应商ETC账户划扣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 w14:paraId="63F4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1A39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故障车辆退换</w:t>
            </w:r>
          </w:p>
        </w:tc>
        <w:tc>
          <w:tcPr>
            <w:tcW w:w="4212" w:type="pct"/>
            <w:noWrap w:val="0"/>
            <w:vAlign w:val="center"/>
          </w:tcPr>
          <w:p w14:paraId="2C09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如有下列情况之一，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应无条件退换同等标准新车：</w:t>
            </w:r>
          </w:p>
          <w:p w14:paraId="2D5A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1. 租赁车辆电池容量低于初始容量的80%。</w:t>
            </w:r>
          </w:p>
          <w:p w14:paraId="6D04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2. 车辆较大维修（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车机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系统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发动机等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故障）后仍出现相同故障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达2次或以上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</w:p>
          <w:p w14:paraId="689B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3. 车辆因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严重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故障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车机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系统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发动机等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故障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在道路抛锚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达2次或以上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</w:t>
            </w:r>
          </w:p>
        </w:tc>
      </w:tr>
      <w:tr w14:paraId="3E01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7" w:type="pct"/>
            <w:noWrap w:val="0"/>
            <w:vAlign w:val="center"/>
          </w:tcPr>
          <w:p w14:paraId="4387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车辆临时保障</w:t>
            </w:r>
          </w:p>
        </w:tc>
        <w:tc>
          <w:tcPr>
            <w:tcW w:w="4212" w:type="pct"/>
            <w:noWrap w:val="0"/>
            <w:vAlign w:val="center"/>
          </w:tcPr>
          <w:p w14:paraId="1453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1.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在广州市内必须自有不少于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0辆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原租赁车辆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同价格、排气量标准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的小型客车作为备用车辆。</w:t>
            </w:r>
          </w:p>
          <w:p w14:paraId="2AC3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2.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所提供的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，在租赁期间发生意外事故、出现机械故障或异常等情况，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或进行维修、保养、年审等事务办理超过24小时的，应当在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广州市越秀区、海珠区、荔湾区、天河区、白云区、黄埔区、番禺区1小时内，其他地区约定时间内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提供与原租赁车辆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同价格、排气量标准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的备用车辆，给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临时使用，直至原有车辆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可以正常使用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。若等待备用车辆到达期间，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采购方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因需要须立即出行的，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由采购方与供应商自行协商约定的方式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完成行程，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</w:rPr>
              <w:t>由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</w:rPr>
              <w:t>承担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相关费用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shd w:val="clear" w:color="auto" w:fill="auto"/>
              </w:rPr>
              <w:t>。</w:t>
            </w:r>
          </w:p>
        </w:tc>
      </w:tr>
    </w:tbl>
    <w:p w14:paraId="13B265FB">
      <w:pPr>
        <w:pStyle w:val="2"/>
        <w:numPr>
          <w:ilvl w:val="0"/>
          <w:numId w:val="0"/>
        </w:numPr>
        <w:ind w:left="400" w:leftChars="200"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报价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449FA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价格已包含车辆租赁服务发生的所有费用，包括但不限于车辆折旧（含增值税、购置税、车船税等税费）、上牌、年审、保险、维修、保养、清洗、喷涂（含复原）、车载定位终端（含安装及拆除）、ETC、车辆充电桩、事故理赔、故障车辆退换、临时车辆保障等事务的办理及费用，以及车辆的充电、燃油、路桥、外勤停车（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在固定停放点以外停放产生的停车费）等费用。</w:t>
      </w:r>
    </w:p>
    <w:p w14:paraId="1C216FD5">
      <w:pPr>
        <w:pStyle w:val="2"/>
        <w:numPr>
          <w:ilvl w:val="0"/>
          <w:numId w:val="0"/>
        </w:numPr>
        <w:ind w:left="400" w:leftChars="200"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四、支付方式</w:t>
      </w:r>
    </w:p>
    <w:p w14:paraId="4D2ECC83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车辆租金采取按月结算的方式：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在每月10日前将上月租赁费用明细报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核对。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核对无误后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出具正规发票，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在收到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票据后10个工作日内以银行转账方式支付扣减车辆充电费（使用无计费功能的充电桩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或者使用有采购方提供电力的有计费功能的充电桩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）和违约金后的月租金。</w:t>
      </w:r>
    </w:p>
    <w:p w14:paraId="70B05133"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月度计费存在由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先行垫付的租赁车辆费用的，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提供有效票据作为凭证，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在收到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票据后10个工作日内据实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支付采购方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费用，具体支付方式由双方协商约定。</w:t>
      </w:r>
    </w:p>
    <w:p w14:paraId="7A0D34E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E928C-1FB9-458F-9C73-75E084D1ED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587EE1-0B37-481F-A765-24F6256D36AB}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8CBA7A-A559-41D0-AA97-9EEA399B720E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4" w:fontKey="{3D757A16-E45D-43AA-B946-49A21F4F89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1236DCD-C84E-464E-B8D5-A29C17BC3628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AD70BA1-C78B-4310-9AA3-626904312D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78D35D1-9D4E-463E-AACC-B600F84B00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2BF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59E3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F59E3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B092"/>
    <w:multiLevelType w:val="singleLevel"/>
    <w:tmpl w:val="DDDAB092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1">
    <w:nsid w:val="EEFCAE06"/>
    <w:multiLevelType w:val="singleLevel"/>
    <w:tmpl w:val="EEFCAE06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sImhkaWQiOiJhYTE2NzQ1YjFiZmUwNzlhYzRlZjRlM2Y1MDVmYTM5YyIsInVzZXJDb3VudCI6MjB9"/>
  </w:docVars>
  <w:rsids>
    <w:rsidRoot w:val="018409B7"/>
    <w:rsid w:val="00113C09"/>
    <w:rsid w:val="00225DD6"/>
    <w:rsid w:val="003A07F6"/>
    <w:rsid w:val="00854096"/>
    <w:rsid w:val="00B730F2"/>
    <w:rsid w:val="00CA6E43"/>
    <w:rsid w:val="015A704D"/>
    <w:rsid w:val="018409B7"/>
    <w:rsid w:val="01D13030"/>
    <w:rsid w:val="04EF039B"/>
    <w:rsid w:val="051169A9"/>
    <w:rsid w:val="052C2F46"/>
    <w:rsid w:val="07316028"/>
    <w:rsid w:val="0C156A8C"/>
    <w:rsid w:val="0C6E265C"/>
    <w:rsid w:val="0E044B9A"/>
    <w:rsid w:val="0E19425F"/>
    <w:rsid w:val="0F2BA658"/>
    <w:rsid w:val="0FE850A5"/>
    <w:rsid w:val="11CF48C6"/>
    <w:rsid w:val="142E11FF"/>
    <w:rsid w:val="14C85297"/>
    <w:rsid w:val="161D7F12"/>
    <w:rsid w:val="16532232"/>
    <w:rsid w:val="17FF0120"/>
    <w:rsid w:val="19ED1338"/>
    <w:rsid w:val="19FF15CA"/>
    <w:rsid w:val="1AC71DC4"/>
    <w:rsid w:val="1CEE3EA2"/>
    <w:rsid w:val="1E953001"/>
    <w:rsid w:val="1F356EF2"/>
    <w:rsid w:val="1F7A2683"/>
    <w:rsid w:val="1FDB470E"/>
    <w:rsid w:val="1FFFEF21"/>
    <w:rsid w:val="20E25572"/>
    <w:rsid w:val="20EC4A4D"/>
    <w:rsid w:val="24504CB1"/>
    <w:rsid w:val="26426B6D"/>
    <w:rsid w:val="290D02FD"/>
    <w:rsid w:val="29CC2DAF"/>
    <w:rsid w:val="2A760E56"/>
    <w:rsid w:val="2AED5E7D"/>
    <w:rsid w:val="2BED1C8B"/>
    <w:rsid w:val="2BFD63B3"/>
    <w:rsid w:val="2E4F6312"/>
    <w:rsid w:val="2F5B6411"/>
    <w:rsid w:val="2FDBB42C"/>
    <w:rsid w:val="2FDFC6F8"/>
    <w:rsid w:val="2FE43584"/>
    <w:rsid w:val="2FFDD7D4"/>
    <w:rsid w:val="3073229F"/>
    <w:rsid w:val="30C74546"/>
    <w:rsid w:val="31332F9C"/>
    <w:rsid w:val="35097794"/>
    <w:rsid w:val="35FFF76A"/>
    <w:rsid w:val="371840E9"/>
    <w:rsid w:val="374F79B4"/>
    <w:rsid w:val="376F8C18"/>
    <w:rsid w:val="37A21D75"/>
    <w:rsid w:val="395842DB"/>
    <w:rsid w:val="3A7EE4E2"/>
    <w:rsid w:val="3B1D3D80"/>
    <w:rsid w:val="3DE360D7"/>
    <w:rsid w:val="3E013018"/>
    <w:rsid w:val="3E7320C8"/>
    <w:rsid w:val="3EAA2130"/>
    <w:rsid w:val="3ECAF6D4"/>
    <w:rsid w:val="3F3B6FE6"/>
    <w:rsid w:val="3FF70CE9"/>
    <w:rsid w:val="3FF73C42"/>
    <w:rsid w:val="4096687E"/>
    <w:rsid w:val="4B5D7335"/>
    <w:rsid w:val="4BED8E6B"/>
    <w:rsid w:val="4DFF26E4"/>
    <w:rsid w:val="4E3A5227"/>
    <w:rsid w:val="4E77502E"/>
    <w:rsid w:val="4F6FF886"/>
    <w:rsid w:val="4FEC4493"/>
    <w:rsid w:val="5022158D"/>
    <w:rsid w:val="50EC2727"/>
    <w:rsid w:val="515E0CBF"/>
    <w:rsid w:val="544946C7"/>
    <w:rsid w:val="54581970"/>
    <w:rsid w:val="55A535FB"/>
    <w:rsid w:val="56750307"/>
    <w:rsid w:val="579826A8"/>
    <w:rsid w:val="58B77D8F"/>
    <w:rsid w:val="59E6528E"/>
    <w:rsid w:val="5AE3793B"/>
    <w:rsid w:val="5B0A0784"/>
    <w:rsid w:val="5BFF49A4"/>
    <w:rsid w:val="5C150378"/>
    <w:rsid w:val="5D4ABE6C"/>
    <w:rsid w:val="5DBFC029"/>
    <w:rsid w:val="5FE27B2E"/>
    <w:rsid w:val="5FF58C2E"/>
    <w:rsid w:val="5FFFA9DE"/>
    <w:rsid w:val="603B5086"/>
    <w:rsid w:val="6127817B"/>
    <w:rsid w:val="61E7772C"/>
    <w:rsid w:val="629148C2"/>
    <w:rsid w:val="672200BE"/>
    <w:rsid w:val="67CE3AE9"/>
    <w:rsid w:val="6913133E"/>
    <w:rsid w:val="69DDE0C7"/>
    <w:rsid w:val="6A343805"/>
    <w:rsid w:val="6AFF1DA3"/>
    <w:rsid w:val="6D462C03"/>
    <w:rsid w:val="6D9C6B63"/>
    <w:rsid w:val="6DCED8F1"/>
    <w:rsid w:val="6DFF0DDA"/>
    <w:rsid w:val="6E9BFF6B"/>
    <w:rsid w:val="6EDFFCE3"/>
    <w:rsid w:val="6F62394D"/>
    <w:rsid w:val="6FAF5EFF"/>
    <w:rsid w:val="6FDB682E"/>
    <w:rsid w:val="6FDE6D54"/>
    <w:rsid w:val="6FFF25A3"/>
    <w:rsid w:val="71BF8DE0"/>
    <w:rsid w:val="71F9DA8D"/>
    <w:rsid w:val="72DF3B76"/>
    <w:rsid w:val="732A4A96"/>
    <w:rsid w:val="7351598A"/>
    <w:rsid w:val="73774085"/>
    <w:rsid w:val="73A128A5"/>
    <w:rsid w:val="73EC5CDC"/>
    <w:rsid w:val="74E24DC3"/>
    <w:rsid w:val="75BA6AC0"/>
    <w:rsid w:val="76ADD435"/>
    <w:rsid w:val="77326F26"/>
    <w:rsid w:val="777EAB19"/>
    <w:rsid w:val="77FFB948"/>
    <w:rsid w:val="78B31048"/>
    <w:rsid w:val="7977E9EF"/>
    <w:rsid w:val="79A6ED5D"/>
    <w:rsid w:val="7B1E187B"/>
    <w:rsid w:val="7B7EFAFB"/>
    <w:rsid w:val="7BFF15F6"/>
    <w:rsid w:val="7C4003F3"/>
    <w:rsid w:val="7CAF542C"/>
    <w:rsid w:val="7CEB95D2"/>
    <w:rsid w:val="7D203DD5"/>
    <w:rsid w:val="7D7D21FF"/>
    <w:rsid w:val="7DDF34B0"/>
    <w:rsid w:val="7DFC0E28"/>
    <w:rsid w:val="7E9B475A"/>
    <w:rsid w:val="7EF773AE"/>
    <w:rsid w:val="7EFABD23"/>
    <w:rsid w:val="7F8F4B16"/>
    <w:rsid w:val="7F945AD0"/>
    <w:rsid w:val="7FC918E0"/>
    <w:rsid w:val="7FD77B2F"/>
    <w:rsid w:val="7FDB57EE"/>
    <w:rsid w:val="7FE88D62"/>
    <w:rsid w:val="7FE93E88"/>
    <w:rsid w:val="7FF7A9AF"/>
    <w:rsid w:val="7FF7FE87"/>
    <w:rsid w:val="7FFD3B64"/>
    <w:rsid w:val="7FFE0415"/>
    <w:rsid w:val="7FFFF22B"/>
    <w:rsid w:val="95BB8929"/>
    <w:rsid w:val="9DEF3B2F"/>
    <w:rsid w:val="9EAF60CF"/>
    <w:rsid w:val="9FE77DF3"/>
    <w:rsid w:val="A7DF78FA"/>
    <w:rsid w:val="AFFD8162"/>
    <w:rsid w:val="B1ED1695"/>
    <w:rsid w:val="B1EE0B6A"/>
    <w:rsid w:val="B6FBA719"/>
    <w:rsid w:val="B7DD4F31"/>
    <w:rsid w:val="B7DF2D7B"/>
    <w:rsid w:val="BBEE298F"/>
    <w:rsid w:val="BBF83256"/>
    <w:rsid w:val="BBFB9420"/>
    <w:rsid w:val="BD7B172A"/>
    <w:rsid w:val="BDCA2725"/>
    <w:rsid w:val="BEEC5DC7"/>
    <w:rsid w:val="BF68CA2E"/>
    <w:rsid w:val="BFFFA92A"/>
    <w:rsid w:val="C8DDE411"/>
    <w:rsid w:val="CCBC7AE9"/>
    <w:rsid w:val="CDCE0802"/>
    <w:rsid w:val="CFB73573"/>
    <w:rsid w:val="D3FE8A1E"/>
    <w:rsid w:val="D6BF4822"/>
    <w:rsid w:val="D6CBAFC3"/>
    <w:rsid w:val="D7FF3DF4"/>
    <w:rsid w:val="DBBD597C"/>
    <w:rsid w:val="DBBF98EF"/>
    <w:rsid w:val="DBE3F502"/>
    <w:rsid w:val="DDEFC7C6"/>
    <w:rsid w:val="DEBF983A"/>
    <w:rsid w:val="DEF374FF"/>
    <w:rsid w:val="DF779AC0"/>
    <w:rsid w:val="DFB7BEB5"/>
    <w:rsid w:val="DFFFBAD9"/>
    <w:rsid w:val="EABB52B7"/>
    <w:rsid w:val="EB576F9D"/>
    <w:rsid w:val="EF633D8E"/>
    <w:rsid w:val="F19331EE"/>
    <w:rsid w:val="F3EF9F34"/>
    <w:rsid w:val="F56FEB48"/>
    <w:rsid w:val="F57F87D4"/>
    <w:rsid w:val="F5FA9765"/>
    <w:rsid w:val="F6FF1E8A"/>
    <w:rsid w:val="F77FFFDE"/>
    <w:rsid w:val="F7FD0ED9"/>
    <w:rsid w:val="F7FF64E0"/>
    <w:rsid w:val="F96B594D"/>
    <w:rsid w:val="F9B5B395"/>
    <w:rsid w:val="F9FF9744"/>
    <w:rsid w:val="FA7FC358"/>
    <w:rsid w:val="FADDE4A5"/>
    <w:rsid w:val="FB77D1F8"/>
    <w:rsid w:val="FBEE635F"/>
    <w:rsid w:val="FBF7CD4B"/>
    <w:rsid w:val="FBFB7169"/>
    <w:rsid w:val="FBFDC382"/>
    <w:rsid w:val="FCBFB66B"/>
    <w:rsid w:val="FCF654EA"/>
    <w:rsid w:val="FD572F26"/>
    <w:rsid w:val="FDDFECD1"/>
    <w:rsid w:val="FEB718C8"/>
    <w:rsid w:val="FF4B881D"/>
    <w:rsid w:val="FF79B1AF"/>
    <w:rsid w:val="FFB5D770"/>
    <w:rsid w:val="FFB5EC76"/>
    <w:rsid w:val="FFB73D7E"/>
    <w:rsid w:val="FFBBE167"/>
    <w:rsid w:val="FFDBB3C8"/>
    <w:rsid w:val="FFDF42C5"/>
    <w:rsid w:val="FFEFED99"/>
    <w:rsid w:val="FFFD953E"/>
    <w:rsid w:val="FFFEF27C"/>
    <w:rsid w:val="FFFF0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560" w:lineRule="exact"/>
      <w:ind w:left="640" w:leftChars="200" w:firstLine="0"/>
      <w:outlineLvl w:val="3"/>
    </w:pPr>
    <w:rPr>
      <w:rFonts w:ascii="仿宋_GB2312" w:hAnsi="仿宋_GB231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paragraph" w:customStyle="1" w:styleId="9">
    <w:name w:val="Section Heading"/>
    <w:basedOn w:val="1"/>
    <w:uiPriority w:val="0"/>
    <w:rPr>
      <w:rFonts w:ascii="Book Antiqua" w:hAnsi="Book Antiqua"/>
      <w:b/>
      <w:sz w:val="24"/>
    </w:rPr>
  </w:style>
  <w:style w:type="paragraph" w:customStyle="1" w:styleId="10">
    <w:name w:val="narrat style"/>
    <w:basedOn w:val="9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1">
    <w:name w:val="form text"/>
    <w:basedOn w:val="1"/>
    <w:uiPriority w:val="0"/>
    <w:pPr>
      <w:spacing w:before="120"/>
    </w:pPr>
    <w:rPr>
      <w:b/>
      <w:i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fa98400-5323-42e4-aa33-910bc56489e2\&#39033;&#30446;&#38656;&#27714;&#24314;&#35758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Pages>5</Pages>
  <Words>1517</Words>
  <Characters>1597</Characters>
  <Lines>4</Lines>
  <Paragraphs>1</Paragraphs>
  <TotalTime>8.66666666666667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2021-10-23T02:31:00Z</dcterms:created>
  <dc:creator>梁洁余</dc:creator>
  <cp:lastModifiedBy>梁洁余</cp:lastModifiedBy>
  <dcterms:modified xsi:type="dcterms:W3CDTF">2025-02-05T07:22:50Z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770F773C1C734AD4B06147725125B918_13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