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jc w:val="center"/>
        <w:rPr>
          <w:rFonts w:ascii="宋体" w:hAnsi="宋体" w:eastAsia="宋体" w:cs="宋体"/>
          <w:b/>
          <w:kern w:val="0"/>
          <w:sz w:val="32"/>
          <w:szCs w:val="32"/>
        </w:rPr>
      </w:pPr>
      <w:r>
        <w:rPr>
          <w:rFonts w:hint="eastAsia" w:ascii="宋体" w:hAnsi="宋体" w:eastAsia="宋体" w:cs="宋体"/>
          <w:b/>
          <w:kern w:val="0"/>
          <w:sz w:val="32"/>
          <w:szCs w:val="32"/>
        </w:rPr>
        <w:t>穗环法罚〔2017〕95号</w:t>
      </w:r>
    </w:p>
    <w:p>
      <w:pPr>
        <w:widowControl/>
        <w:wordWrap w:val="0"/>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tbl>
      <w:tblPr>
        <w:tblStyle w:val="6"/>
        <w:tblW w:w="0" w:type="auto"/>
        <w:jc w:val="center"/>
        <w:tblLayout w:type="autofit"/>
        <w:tblCellMar>
          <w:top w:w="0" w:type="dxa"/>
          <w:left w:w="0" w:type="dxa"/>
          <w:bottom w:w="0" w:type="dxa"/>
          <w:right w:w="0" w:type="dxa"/>
        </w:tblCellMar>
      </w:tblPr>
      <w:tblGrid>
        <w:gridCol w:w="1897"/>
        <w:gridCol w:w="1611"/>
        <w:gridCol w:w="1432"/>
        <w:gridCol w:w="1075"/>
        <w:gridCol w:w="1075"/>
        <w:gridCol w:w="1432"/>
      </w:tblGrid>
      <w:tr>
        <w:tblPrEx>
          <w:tblCellMar>
            <w:top w:w="0" w:type="dxa"/>
            <w:left w:w="0" w:type="dxa"/>
            <w:bottom w:w="0" w:type="dxa"/>
            <w:right w:w="0" w:type="dxa"/>
          </w:tblCellMar>
        </w:tblPrEx>
        <w:trPr>
          <w:trHeight w:val="285" w:hRule="atLeast"/>
          <w:jc w:val="center"/>
        </w:trPr>
        <w:tc>
          <w:tcPr>
            <w:tcW w:w="19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before="100" w:beforeAutospacing="1" w:after="100" w:afterAutospacing="1" w:line="270" w:lineRule="atLeast"/>
              <w:jc w:val="right"/>
              <w:rPr>
                <w:rFonts w:ascii="宋体" w:hAnsi="宋体" w:eastAsia="宋体" w:cs="宋体"/>
                <w:color w:val="102401"/>
                <w:kern w:val="0"/>
                <w:sz w:val="24"/>
                <w:szCs w:val="24"/>
              </w:rPr>
            </w:pPr>
            <w:r>
              <w:rPr>
                <w:rFonts w:hint="eastAsia" w:ascii="宋体" w:hAnsi="宋体" w:eastAsia="宋体" w:cs="宋体"/>
                <w:b/>
                <w:bCs/>
                <w:color w:val="102401"/>
                <w:kern w:val="0"/>
                <w:sz w:val="24"/>
                <w:szCs w:val="24"/>
              </w:rPr>
              <w:t>行政处罚决定文书号:</w:t>
            </w:r>
          </w:p>
        </w:tc>
        <w:tc>
          <w:tcPr>
            <w:tcW w:w="666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bottom"/>
          </w:tcPr>
          <w:p>
            <w:pPr>
              <w:widowControl/>
              <w:spacing w:before="100" w:beforeAutospacing="1" w:after="100" w:afterAutospacing="1" w:line="270" w:lineRule="atLeast"/>
              <w:jc w:val="left"/>
              <w:rPr>
                <w:rFonts w:ascii="宋体" w:hAnsi="宋体" w:eastAsia="宋体" w:cs="宋体"/>
                <w:color w:val="102401"/>
                <w:kern w:val="0"/>
                <w:sz w:val="24"/>
                <w:szCs w:val="24"/>
              </w:rPr>
            </w:pPr>
            <w:r>
              <w:rPr>
                <w:rFonts w:hint="eastAsia" w:ascii="宋体" w:hAnsi="宋体" w:eastAsia="宋体" w:cs="宋体"/>
                <w:color w:val="102401"/>
                <w:kern w:val="0"/>
                <w:sz w:val="24"/>
                <w:szCs w:val="24"/>
              </w:rPr>
              <w:t>穗环法罚〔2017〕95号</w:t>
            </w:r>
          </w:p>
        </w:tc>
      </w:tr>
      <w:tr>
        <w:tblPrEx>
          <w:tblCellMar>
            <w:top w:w="0" w:type="dxa"/>
            <w:left w:w="0" w:type="dxa"/>
            <w:bottom w:w="0" w:type="dxa"/>
            <w:right w:w="0" w:type="dxa"/>
          </w:tblCellMar>
        </w:tblPrEx>
        <w:trPr>
          <w:trHeight w:val="285" w:hRule="atLeast"/>
          <w:jc w:val="center"/>
        </w:trPr>
        <w:tc>
          <w:tcPr>
            <w:tcW w:w="190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70" w:lineRule="atLeast"/>
              <w:jc w:val="right"/>
              <w:rPr>
                <w:rFonts w:ascii="宋体" w:hAnsi="宋体" w:eastAsia="宋体" w:cs="宋体"/>
                <w:color w:val="102401"/>
                <w:kern w:val="0"/>
                <w:sz w:val="24"/>
                <w:szCs w:val="24"/>
              </w:rPr>
            </w:pPr>
            <w:r>
              <w:rPr>
                <w:rFonts w:hint="eastAsia" w:ascii="宋体" w:hAnsi="宋体" w:eastAsia="宋体" w:cs="宋体"/>
                <w:b/>
                <w:bCs/>
                <w:color w:val="102401"/>
                <w:kern w:val="0"/>
                <w:sz w:val="24"/>
                <w:szCs w:val="24"/>
              </w:rPr>
              <w:t>处罚名称:</w:t>
            </w:r>
          </w:p>
        </w:tc>
        <w:tc>
          <w:tcPr>
            <w:tcW w:w="6660" w:type="dxa"/>
            <w:gridSpan w:val="5"/>
            <w:tcBorders>
              <w:top w:val="nil"/>
              <w:left w:val="nil"/>
              <w:bottom w:val="single" w:color="auto" w:sz="8" w:space="0"/>
              <w:right w:val="single" w:color="auto" w:sz="8" w:space="0"/>
            </w:tcBorders>
            <w:tcMar>
              <w:top w:w="0" w:type="dxa"/>
              <w:left w:w="108" w:type="dxa"/>
              <w:bottom w:w="0" w:type="dxa"/>
              <w:right w:w="108" w:type="dxa"/>
            </w:tcMar>
            <w:vAlign w:val="bottom"/>
          </w:tcPr>
          <w:p>
            <w:pPr>
              <w:widowControl/>
              <w:spacing w:before="100" w:beforeAutospacing="1" w:after="100" w:afterAutospacing="1" w:line="270" w:lineRule="atLeast"/>
              <w:jc w:val="left"/>
              <w:rPr>
                <w:rFonts w:ascii="宋体" w:hAnsi="宋体" w:eastAsia="宋体" w:cs="宋体"/>
                <w:color w:val="102401"/>
                <w:kern w:val="0"/>
                <w:sz w:val="24"/>
                <w:szCs w:val="24"/>
              </w:rPr>
            </w:pPr>
            <w:r>
              <w:rPr>
                <w:rFonts w:ascii="宋体" w:hAnsi="宋体" w:eastAsia="宋体" w:cs="宋体"/>
                <w:color w:val="102401"/>
                <w:kern w:val="0"/>
                <w:sz w:val="24"/>
                <w:szCs w:val="24"/>
              </w:rPr>
              <w:t>袁刚行政处罚案</w:t>
            </w:r>
          </w:p>
        </w:tc>
      </w:tr>
      <w:tr>
        <w:tblPrEx>
          <w:tblCellMar>
            <w:top w:w="0" w:type="dxa"/>
            <w:left w:w="0" w:type="dxa"/>
            <w:bottom w:w="0" w:type="dxa"/>
            <w:right w:w="0" w:type="dxa"/>
          </w:tblCellMar>
        </w:tblPrEx>
        <w:trPr>
          <w:trHeight w:val="285" w:hRule="atLeast"/>
          <w:jc w:val="center"/>
        </w:trPr>
        <w:tc>
          <w:tcPr>
            <w:tcW w:w="190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before="100" w:beforeAutospacing="1" w:after="100" w:afterAutospacing="1" w:line="270" w:lineRule="atLeast"/>
              <w:jc w:val="right"/>
              <w:rPr>
                <w:rFonts w:ascii="宋体" w:hAnsi="宋体" w:eastAsia="宋体" w:cs="宋体"/>
                <w:color w:val="102401"/>
                <w:kern w:val="0"/>
                <w:sz w:val="24"/>
                <w:szCs w:val="24"/>
              </w:rPr>
            </w:pPr>
            <w:r>
              <w:rPr>
                <w:rFonts w:hint="eastAsia" w:ascii="宋体" w:hAnsi="宋体" w:eastAsia="宋体" w:cs="宋体"/>
                <w:b/>
                <w:bCs/>
                <w:color w:val="102401"/>
                <w:kern w:val="0"/>
                <w:sz w:val="24"/>
                <w:szCs w:val="24"/>
              </w:rPr>
              <w:t>处罚类别:</w:t>
            </w:r>
          </w:p>
        </w:tc>
        <w:tc>
          <w:tcPr>
            <w:tcW w:w="6660" w:type="dxa"/>
            <w:gridSpan w:val="5"/>
            <w:tcBorders>
              <w:top w:val="nil"/>
              <w:left w:val="nil"/>
              <w:bottom w:val="single" w:color="auto" w:sz="8" w:space="0"/>
              <w:right w:val="single" w:color="auto" w:sz="8" w:space="0"/>
            </w:tcBorders>
            <w:tcMar>
              <w:top w:w="0" w:type="dxa"/>
              <w:left w:w="108" w:type="dxa"/>
              <w:bottom w:w="0" w:type="dxa"/>
              <w:right w:w="108" w:type="dxa"/>
            </w:tcMar>
            <w:vAlign w:val="bottom"/>
          </w:tcPr>
          <w:p>
            <w:pPr>
              <w:widowControl/>
              <w:spacing w:before="100" w:beforeAutospacing="1" w:after="100" w:afterAutospacing="1" w:line="270" w:lineRule="atLeast"/>
              <w:jc w:val="left"/>
              <w:rPr>
                <w:rFonts w:ascii="宋体" w:hAnsi="宋体" w:eastAsia="宋体" w:cs="宋体"/>
                <w:color w:val="102401"/>
                <w:kern w:val="0"/>
                <w:sz w:val="24"/>
                <w:szCs w:val="24"/>
              </w:rPr>
            </w:pPr>
            <w:r>
              <w:rPr>
                <w:rFonts w:hint="eastAsia" w:ascii="宋体" w:hAnsi="宋体" w:eastAsia="宋体" w:cs="宋体"/>
                <w:color w:val="102401"/>
                <w:kern w:val="0"/>
                <w:sz w:val="24"/>
                <w:szCs w:val="24"/>
              </w:rPr>
              <w:t>警告</w:t>
            </w:r>
          </w:p>
        </w:tc>
      </w:tr>
      <w:tr>
        <w:tblPrEx>
          <w:tblCellMar>
            <w:top w:w="0" w:type="dxa"/>
            <w:left w:w="0" w:type="dxa"/>
            <w:bottom w:w="0" w:type="dxa"/>
            <w:right w:w="0" w:type="dxa"/>
          </w:tblCellMar>
        </w:tblPrEx>
        <w:trPr>
          <w:trHeight w:val="276" w:hRule="atLeast"/>
          <w:jc w:val="center"/>
        </w:trPr>
        <w:tc>
          <w:tcPr>
            <w:tcW w:w="190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70" w:lineRule="atLeast"/>
              <w:jc w:val="right"/>
              <w:rPr>
                <w:rFonts w:ascii="宋体" w:hAnsi="宋体" w:eastAsia="宋体" w:cs="宋体"/>
                <w:color w:val="102401"/>
                <w:kern w:val="0"/>
                <w:sz w:val="24"/>
                <w:szCs w:val="24"/>
              </w:rPr>
            </w:pPr>
            <w:r>
              <w:rPr>
                <w:rFonts w:hint="eastAsia" w:ascii="宋体" w:hAnsi="宋体" w:eastAsia="宋体" w:cs="宋体"/>
                <w:b/>
                <w:bCs/>
                <w:color w:val="102401"/>
                <w:kern w:val="0"/>
                <w:sz w:val="24"/>
                <w:szCs w:val="24"/>
              </w:rPr>
              <w:t>处罚事由:</w:t>
            </w:r>
          </w:p>
        </w:tc>
        <w:tc>
          <w:tcPr>
            <w:tcW w:w="6660" w:type="dxa"/>
            <w:gridSpan w:val="5"/>
            <w:tcBorders>
              <w:top w:val="nil"/>
              <w:left w:val="nil"/>
              <w:bottom w:val="single" w:color="auto"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line="270" w:lineRule="atLeast"/>
              <w:jc w:val="left"/>
              <w:rPr>
                <w:rFonts w:ascii="宋体" w:hAnsi="宋体" w:eastAsia="宋体" w:cs="宋体"/>
                <w:color w:val="102401"/>
                <w:kern w:val="0"/>
                <w:sz w:val="24"/>
                <w:szCs w:val="24"/>
              </w:rPr>
            </w:pPr>
            <w:r>
              <w:rPr>
                <w:rFonts w:hint="eastAsia" w:ascii="宋体" w:hAnsi="宋体" w:eastAsia="宋体" w:cs="宋体"/>
                <w:color w:val="102401"/>
                <w:kern w:val="0"/>
                <w:sz w:val="24"/>
                <w:szCs w:val="24"/>
              </w:rPr>
              <w:t>经我局执法监察支队2017年10月31日调查发现，当事人自2016年8月在我市白云区蛟腾街一巷15号9楼建成并投产的广州市创利五金厂（尚未办理工商登记手续）项目，投资总额约3万元；该项目主营手表表面加工，设有电镀、喷涂、丝印、五金等4个车间，尚未办理环境影响评价审批手续和排污许可证；项目产生的电镀工艺产生的除油和清洗等废水自行收集存储，并未经处理直接排入下水道；2017年10月31日，该项目在正常生产情况下，经广州市环境监测中心站对除油废水储存器内的废水采样监测，其中总镍浓度为1.76毫克/升、总铬1.40毫克/升。</w:t>
            </w:r>
          </w:p>
        </w:tc>
      </w:tr>
      <w:tr>
        <w:tblPrEx>
          <w:tblCellMar>
            <w:top w:w="0" w:type="dxa"/>
            <w:left w:w="0" w:type="dxa"/>
            <w:bottom w:w="0" w:type="dxa"/>
            <w:right w:w="0" w:type="dxa"/>
          </w:tblCellMar>
        </w:tblPrEx>
        <w:trPr>
          <w:trHeight w:val="347" w:hRule="atLeast"/>
          <w:jc w:val="center"/>
        </w:trPr>
        <w:tc>
          <w:tcPr>
            <w:tcW w:w="190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70" w:lineRule="atLeast"/>
              <w:jc w:val="right"/>
              <w:rPr>
                <w:rFonts w:ascii="宋体" w:hAnsi="宋体" w:eastAsia="宋体" w:cs="宋体"/>
                <w:color w:val="102401"/>
                <w:kern w:val="0"/>
                <w:sz w:val="24"/>
                <w:szCs w:val="24"/>
              </w:rPr>
            </w:pPr>
            <w:r>
              <w:rPr>
                <w:rFonts w:hint="eastAsia" w:ascii="宋体" w:hAnsi="宋体" w:eastAsia="宋体" w:cs="宋体"/>
                <w:b/>
                <w:bCs/>
                <w:color w:val="102401"/>
                <w:kern w:val="0"/>
                <w:sz w:val="24"/>
                <w:szCs w:val="24"/>
              </w:rPr>
              <w:t>处罚依据:</w:t>
            </w:r>
          </w:p>
        </w:tc>
        <w:tc>
          <w:tcPr>
            <w:tcW w:w="6660"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70" w:lineRule="atLeast"/>
              <w:jc w:val="left"/>
              <w:rPr>
                <w:rFonts w:ascii="宋体" w:hAnsi="宋体" w:eastAsia="宋体" w:cs="宋体"/>
                <w:color w:val="102401"/>
                <w:kern w:val="0"/>
                <w:sz w:val="24"/>
                <w:szCs w:val="24"/>
              </w:rPr>
            </w:pPr>
            <w:r>
              <w:rPr>
                <w:rFonts w:ascii="宋体" w:hAnsi="宋体" w:eastAsia="宋体" w:cs="宋体"/>
                <w:color w:val="102401"/>
                <w:kern w:val="0"/>
                <w:sz w:val="24"/>
                <w:szCs w:val="24"/>
              </w:rPr>
              <w:t> 依据《中华人民共和国环境影响评价法》第三十一条第一款、《广东省环境保护条例》第六十六条第一款和第六十九条第二款、《环境保护主管部门实施限制生产、停产整治办法》第六条第（一）项和第十五条</w:t>
            </w:r>
          </w:p>
        </w:tc>
      </w:tr>
      <w:tr>
        <w:tblPrEx>
          <w:tblCellMar>
            <w:top w:w="0" w:type="dxa"/>
            <w:left w:w="0" w:type="dxa"/>
            <w:bottom w:w="0" w:type="dxa"/>
            <w:right w:w="0" w:type="dxa"/>
          </w:tblCellMar>
        </w:tblPrEx>
        <w:trPr>
          <w:trHeight w:val="285" w:hRule="atLeast"/>
          <w:jc w:val="center"/>
        </w:trPr>
        <w:tc>
          <w:tcPr>
            <w:tcW w:w="190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70" w:lineRule="atLeast"/>
              <w:jc w:val="right"/>
              <w:rPr>
                <w:rFonts w:ascii="宋体" w:hAnsi="宋体" w:eastAsia="宋体" w:cs="宋体"/>
                <w:color w:val="102401"/>
                <w:kern w:val="0"/>
                <w:sz w:val="24"/>
                <w:szCs w:val="24"/>
              </w:rPr>
            </w:pPr>
            <w:r>
              <w:rPr>
                <w:rFonts w:hint="eastAsia" w:ascii="宋体" w:hAnsi="宋体" w:eastAsia="宋体" w:cs="宋体"/>
                <w:b/>
                <w:bCs/>
                <w:color w:val="102401"/>
                <w:kern w:val="0"/>
                <w:sz w:val="24"/>
                <w:szCs w:val="24"/>
              </w:rPr>
              <w:t>处罚结果:</w:t>
            </w:r>
          </w:p>
        </w:tc>
        <w:tc>
          <w:tcPr>
            <w:tcW w:w="6660" w:type="dxa"/>
            <w:gridSpan w:val="5"/>
            <w:tcBorders>
              <w:top w:val="nil"/>
              <w:left w:val="nil"/>
              <w:bottom w:val="single" w:color="auto" w:sz="8" w:space="0"/>
              <w:right w:val="single" w:color="auto" w:sz="8" w:space="0"/>
            </w:tcBorders>
            <w:tcMar>
              <w:top w:w="0" w:type="dxa"/>
              <w:left w:w="108" w:type="dxa"/>
              <w:bottom w:w="0" w:type="dxa"/>
              <w:right w:w="108" w:type="dxa"/>
            </w:tcMar>
            <w:vAlign w:val="bottom"/>
          </w:tcPr>
          <w:p>
            <w:pPr>
              <w:widowControl/>
              <w:spacing w:before="100" w:beforeAutospacing="1" w:after="100" w:afterAutospacing="1" w:line="270" w:lineRule="atLeast"/>
              <w:jc w:val="left"/>
              <w:rPr>
                <w:rFonts w:ascii="宋体" w:hAnsi="宋体" w:eastAsia="宋体" w:cs="宋体"/>
                <w:color w:val="102401"/>
                <w:kern w:val="0"/>
                <w:sz w:val="24"/>
                <w:szCs w:val="24"/>
              </w:rPr>
            </w:pPr>
            <w:r>
              <w:rPr>
                <w:rFonts w:hint="eastAsia" w:ascii="宋体" w:hAnsi="宋体" w:eastAsia="宋体" w:cs="宋体"/>
                <w:color w:val="102401"/>
                <w:kern w:val="0"/>
                <w:sz w:val="24"/>
                <w:szCs w:val="24"/>
              </w:rPr>
              <w:t>责令停产整治决定书送达之日起至停产整治决定解除之日止，并处罚款20万元。</w:t>
            </w:r>
          </w:p>
        </w:tc>
      </w:tr>
      <w:tr>
        <w:tblPrEx>
          <w:tblCellMar>
            <w:top w:w="0" w:type="dxa"/>
            <w:left w:w="0" w:type="dxa"/>
            <w:bottom w:w="0" w:type="dxa"/>
            <w:right w:w="0" w:type="dxa"/>
          </w:tblCellMar>
        </w:tblPrEx>
        <w:trPr>
          <w:trHeight w:val="285" w:hRule="atLeast"/>
          <w:jc w:val="center"/>
        </w:trPr>
        <w:tc>
          <w:tcPr>
            <w:tcW w:w="190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before="100" w:beforeAutospacing="1" w:after="100" w:afterAutospacing="1" w:line="270" w:lineRule="atLeast"/>
              <w:jc w:val="right"/>
              <w:rPr>
                <w:rFonts w:ascii="宋体" w:hAnsi="宋体" w:eastAsia="宋体" w:cs="宋体"/>
                <w:color w:val="102401"/>
                <w:kern w:val="0"/>
                <w:sz w:val="24"/>
                <w:szCs w:val="24"/>
              </w:rPr>
            </w:pPr>
            <w:r>
              <w:rPr>
                <w:rFonts w:hint="eastAsia" w:ascii="宋体" w:hAnsi="宋体" w:eastAsia="宋体" w:cs="宋体"/>
                <w:b/>
                <w:bCs/>
                <w:color w:val="102401"/>
                <w:kern w:val="0"/>
                <w:sz w:val="24"/>
                <w:szCs w:val="24"/>
              </w:rPr>
              <w:t>行政相对人名称:</w:t>
            </w:r>
          </w:p>
        </w:tc>
        <w:tc>
          <w:tcPr>
            <w:tcW w:w="6660" w:type="dxa"/>
            <w:gridSpan w:val="5"/>
            <w:tcBorders>
              <w:top w:val="nil"/>
              <w:left w:val="nil"/>
              <w:bottom w:val="single" w:color="auto" w:sz="8" w:space="0"/>
              <w:right w:val="single" w:color="auto" w:sz="8" w:space="0"/>
            </w:tcBorders>
            <w:tcMar>
              <w:top w:w="0" w:type="dxa"/>
              <w:left w:w="108" w:type="dxa"/>
              <w:bottom w:w="0" w:type="dxa"/>
              <w:right w:w="108" w:type="dxa"/>
            </w:tcMar>
            <w:vAlign w:val="bottom"/>
          </w:tcPr>
          <w:p>
            <w:pPr>
              <w:widowControl/>
              <w:spacing w:before="100" w:beforeAutospacing="1" w:after="100" w:afterAutospacing="1" w:line="270" w:lineRule="atLeast"/>
              <w:jc w:val="left"/>
              <w:rPr>
                <w:rFonts w:ascii="宋体" w:hAnsi="宋体" w:eastAsia="宋体" w:cs="宋体"/>
                <w:color w:val="102401"/>
                <w:kern w:val="0"/>
                <w:sz w:val="24"/>
                <w:szCs w:val="24"/>
              </w:rPr>
            </w:pPr>
            <w:r>
              <w:rPr>
                <w:rFonts w:hint="eastAsia" w:ascii="宋体" w:hAnsi="宋体" w:eastAsia="宋体" w:cs="宋体"/>
                <w:color w:val="102401"/>
                <w:kern w:val="0"/>
                <w:sz w:val="24"/>
                <w:szCs w:val="24"/>
              </w:rPr>
              <w:t>袁刚</w:t>
            </w:r>
          </w:p>
        </w:tc>
      </w:tr>
      <w:tr>
        <w:tblPrEx>
          <w:tblCellMar>
            <w:top w:w="0" w:type="dxa"/>
            <w:left w:w="0" w:type="dxa"/>
            <w:bottom w:w="0" w:type="dxa"/>
            <w:right w:w="0" w:type="dxa"/>
          </w:tblCellMar>
        </w:tblPrEx>
        <w:trPr>
          <w:trHeight w:val="547" w:hRule="atLeast"/>
          <w:jc w:val="center"/>
        </w:trPr>
        <w:tc>
          <w:tcPr>
            <w:tcW w:w="1908" w:type="dxa"/>
            <w:vMerge w:val="restart"/>
            <w:tcBorders>
              <w:top w:val="nil"/>
              <w:left w:val="single" w:color="auto" w:sz="8" w:space="0"/>
              <w:bottom w:val="single" w:color="000000"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70" w:lineRule="atLeast"/>
              <w:jc w:val="right"/>
              <w:rPr>
                <w:rFonts w:ascii="宋体" w:hAnsi="宋体" w:eastAsia="宋体" w:cs="宋体"/>
                <w:color w:val="102401"/>
                <w:kern w:val="0"/>
                <w:sz w:val="24"/>
                <w:szCs w:val="24"/>
              </w:rPr>
            </w:pPr>
            <w:r>
              <w:rPr>
                <w:rFonts w:hint="eastAsia" w:ascii="宋体" w:hAnsi="宋体" w:eastAsia="宋体" w:cs="宋体"/>
                <w:b/>
                <w:bCs/>
                <w:color w:val="102401"/>
                <w:kern w:val="0"/>
                <w:sz w:val="24"/>
                <w:szCs w:val="24"/>
              </w:rPr>
              <w:t>行政相对人代码:</w:t>
            </w:r>
          </w:p>
        </w:tc>
        <w:tc>
          <w:tcPr>
            <w:tcW w:w="1620"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spacing w:before="100" w:beforeAutospacing="1" w:after="100" w:afterAutospacing="1" w:line="270" w:lineRule="atLeast"/>
              <w:jc w:val="center"/>
              <w:rPr>
                <w:rFonts w:ascii="宋体" w:hAnsi="宋体" w:eastAsia="宋体" w:cs="宋体"/>
                <w:color w:val="102401"/>
                <w:kern w:val="0"/>
                <w:sz w:val="24"/>
                <w:szCs w:val="24"/>
              </w:rPr>
            </w:pPr>
            <w:r>
              <w:rPr>
                <w:rFonts w:hint="eastAsia" w:ascii="宋体" w:hAnsi="宋体" w:eastAsia="宋体" w:cs="宋体"/>
                <w:b/>
                <w:bCs/>
                <w:color w:val="102401"/>
                <w:kern w:val="0"/>
                <w:sz w:val="24"/>
                <w:szCs w:val="24"/>
              </w:rPr>
              <w:t>统一社会信用代码</w:t>
            </w:r>
          </w:p>
        </w:tc>
        <w:tc>
          <w:tcPr>
            <w:tcW w:w="1440"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spacing w:before="100" w:beforeAutospacing="1" w:after="100" w:afterAutospacing="1" w:line="270" w:lineRule="atLeast"/>
              <w:jc w:val="center"/>
              <w:rPr>
                <w:rFonts w:ascii="宋体" w:hAnsi="宋体" w:eastAsia="宋体" w:cs="宋体"/>
                <w:color w:val="102401"/>
                <w:kern w:val="0"/>
                <w:sz w:val="24"/>
                <w:szCs w:val="24"/>
              </w:rPr>
            </w:pPr>
            <w:r>
              <w:rPr>
                <w:rFonts w:hint="eastAsia" w:ascii="宋体" w:hAnsi="宋体" w:eastAsia="宋体" w:cs="宋体"/>
                <w:b/>
                <w:bCs/>
                <w:color w:val="102401"/>
                <w:kern w:val="0"/>
                <w:sz w:val="24"/>
                <w:szCs w:val="24"/>
              </w:rPr>
              <w:t>组织机构代码</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spacing w:before="100" w:beforeAutospacing="1" w:after="100" w:afterAutospacing="1" w:line="270" w:lineRule="atLeast"/>
              <w:jc w:val="center"/>
              <w:rPr>
                <w:rFonts w:ascii="宋体" w:hAnsi="宋体" w:eastAsia="宋体" w:cs="宋体"/>
                <w:color w:val="102401"/>
                <w:kern w:val="0"/>
                <w:sz w:val="24"/>
                <w:szCs w:val="24"/>
              </w:rPr>
            </w:pPr>
            <w:r>
              <w:rPr>
                <w:rFonts w:hint="eastAsia" w:ascii="宋体" w:hAnsi="宋体" w:eastAsia="宋体" w:cs="宋体"/>
                <w:b/>
                <w:bCs/>
                <w:color w:val="102401"/>
                <w:kern w:val="0"/>
                <w:sz w:val="24"/>
                <w:szCs w:val="24"/>
              </w:rPr>
              <w:t>工商登记码</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spacing w:before="100" w:beforeAutospacing="1" w:after="100" w:afterAutospacing="1" w:line="270" w:lineRule="atLeast"/>
              <w:jc w:val="center"/>
              <w:rPr>
                <w:rFonts w:ascii="宋体" w:hAnsi="宋体" w:eastAsia="宋体" w:cs="宋体"/>
                <w:color w:val="102401"/>
                <w:kern w:val="0"/>
                <w:sz w:val="24"/>
                <w:szCs w:val="24"/>
              </w:rPr>
            </w:pPr>
            <w:r>
              <w:rPr>
                <w:rFonts w:hint="eastAsia" w:ascii="宋体" w:hAnsi="宋体" w:eastAsia="宋体" w:cs="宋体"/>
                <w:b/>
                <w:bCs/>
                <w:color w:val="102401"/>
                <w:kern w:val="0"/>
                <w:sz w:val="24"/>
                <w:szCs w:val="24"/>
              </w:rPr>
              <w:t>税务登记号</w:t>
            </w:r>
          </w:p>
        </w:tc>
        <w:tc>
          <w:tcPr>
            <w:tcW w:w="1440"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spacing w:before="100" w:beforeAutospacing="1" w:after="100" w:afterAutospacing="1" w:line="270" w:lineRule="atLeast"/>
              <w:jc w:val="center"/>
              <w:rPr>
                <w:rFonts w:ascii="宋体" w:hAnsi="宋体" w:eastAsia="宋体" w:cs="宋体"/>
                <w:color w:val="102401"/>
                <w:kern w:val="0"/>
                <w:sz w:val="24"/>
                <w:szCs w:val="24"/>
              </w:rPr>
            </w:pPr>
            <w:r>
              <w:rPr>
                <w:rFonts w:hint="eastAsia" w:ascii="宋体" w:hAnsi="宋体" w:eastAsia="宋体" w:cs="宋体"/>
                <w:b/>
                <w:bCs/>
                <w:color w:val="102401"/>
                <w:kern w:val="0"/>
                <w:sz w:val="24"/>
                <w:szCs w:val="24"/>
              </w:rPr>
              <w:t>居民身份证号码</w:t>
            </w:r>
          </w:p>
        </w:tc>
      </w:tr>
      <w:tr>
        <w:tblPrEx>
          <w:tblCellMar>
            <w:top w:w="0" w:type="dxa"/>
            <w:left w:w="0" w:type="dxa"/>
            <w:bottom w:w="0" w:type="dxa"/>
            <w:right w:w="0" w:type="dxa"/>
          </w:tblCellMar>
        </w:tblPrEx>
        <w:trPr>
          <w:trHeight w:val="371" w:hRule="atLeast"/>
          <w:jc w:val="center"/>
        </w:trPr>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102401"/>
                <w:kern w:val="0"/>
                <w:sz w:val="24"/>
                <w:szCs w:val="24"/>
              </w:rPr>
            </w:pPr>
          </w:p>
        </w:tc>
        <w:tc>
          <w:tcPr>
            <w:tcW w:w="1620"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spacing w:before="100" w:beforeAutospacing="1" w:after="100" w:afterAutospacing="1" w:line="270" w:lineRule="atLeast"/>
              <w:jc w:val="center"/>
              <w:rPr>
                <w:rFonts w:ascii="宋体" w:hAnsi="宋体" w:eastAsia="宋体" w:cs="宋体"/>
                <w:color w:val="102401"/>
                <w:kern w:val="0"/>
                <w:sz w:val="18"/>
                <w:szCs w:val="18"/>
              </w:rPr>
            </w:pPr>
            <w:r>
              <w:rPr>
                <w:rFonts w:ascii="宋体" w:hAnsi="宋体" w:eastAsia="宋体" w:cs="宋体"/>
                <w:color w:val="102401"/>
                <w:kern w:val="0"/>
                <w:sz w:val="24"/>
                <w:szCs w:val="24"/>
              </w:rPr>
              <w:t>无</w:t>
            </w:r>
          </w:p>
        </w:tc>
        <w:tc>
          <w:tcPr>
            <w:tcW w:w="1440"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spacing w:line="270" w:lineRule="atLeast"/>
              <w:jc w:val="left"/>
              <w:rPr>
                <w:rFonts w:ascii="宋体" w:hAnsi="宋体" w:eastAsia="宋体" w:cs="宋体"/>
                <w:color w:val="102401"/>
                <w:kern w:val="0"/>
                <w:sz w:val="18"/>
                <w:szCs w:val="18"/>
              </w:rPr>
            </w:pPr>
            <w:r>
              <w:rPr>
                <w:rFonts w:ascii="宋体" w:hAnsi="宋体" w:eastAsia="宋体" w:cs="宋体"/>
                <w:color w:val="10240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spacing w:before="100" w:beforeAutospacing="1" w:after="100" w:afterAutospacing="1" w:line="270" w:lineRule="atLeast"/>
              <w:jc w:val="left"/>
              <w:rPr>
                <w:rFonts w:ascii="宋体" w:hAnsi="宋体" w:eastAsia="宋体" w:cs="宋体"/>
                <w:color w:val="102401"/>
                <w:kern w:val="0"/>
                <w:sz w:val="24"/>
                <w:szCs w:val="24"/>
              </w:rPr>
            </w:pPr>
            <w:r>
              <w:rPr>
                <w:rFonts w:hint="eastAsia" w:ascii="宋体" w:hAnsi="宋体" w:eastAsia="宋体" w:cs="宋体"/>
                <w:color w:val="10240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spacing w:before="100" w:beforeAutospacing="1" w:after="100" w:afterAutospacing="1" w:line="270" w:lineRule="atLeast"/>
              <w:jc w:val="left"/>
              <w:rPr>
                <w:rFonts w:ascii="宋体" w:hAnsi="宋体" w:eastAsia="宋体" w:cs="宋体"/>
                <w:color w:val="102401"/>
                <w:kern w:val="0"/>
                <w:sz w:val="24"/>
                <w:szCs w:val="24"/>
              </w:rPr>
            </w:pPr>
            <w:r>
              <w:rPr>
                <w:rFonts w:hint="eastAsia" w:ascii="宋体" w:hAnsi="宋体" w:eastAsia="宋体" w:cs="宋体"/>
                <w:color w:val="102401"/>
                <w:kern w:val="0"/>
                <w:sz w:val="24"/>
                <w:szCs w:val="24"/>
              </w:rPr>
              <w:t>　</w:t>
            </w:r>
          </w:p>
        </w:tc>
        <w:tc>
          <w:tcPr>
            <w:tcW w:w="1440"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spacing w:before="100" w:beforeAutospacing="1" w:after="100" w:afterAutospacing="1" w:line="270" w:lineRule="atLeast"/>
              <w:jc w:val="left"/>
              <w:rPr>
                <w:rFonts w:ascii="宋体" w:hAnsi="宋体" w:eastAsia="宋体" w:cs="宋体"/>
                <w:color w:val="102401"/>
                <w:kern w:val="0"/>
                <w:sz w:val="24"/>
                <w:szCs w:val="24"/>
              </w:rPr>
            </w:pPr>
            <w:r>
              <w:rPr>
                <w:rFonts w:hint="eastAsia" w:ascii="宋体" w:hAnsi="宋体" w:eastAsia="宋体" w:cs="宋体"/>
                <w:color w:val="102401"/>
                <w:kern w:val="0"/>
                <w:sz w:val="24"/>
                <w:szCs w:val="24"/>
              </w:rPr>
              <w:t>　</w:t>
            </w:r>
          </w:p>
        </w:tc>
      </w:tr>
      <w:tr>
        <w:tblPrEx>
          <w:tblCellMar>
            <w:top w:w="0" w:type="dxa"/>
            <w:left w:w="0" w:type="dxa"/>
            <w:bottom w:w="0" w:type="dxa"/>
            <w:right w:w="0" w:type="dxa"/>
          </w:tblCellMar>
        </w:tblPrEx>
        <w:trPr>
          <w:trHeight w:val="285" w:hRule="atLeast"/>
          <w:jc w:val="center"/>
        </w:trPr>
        <w:tc>
          <w:tcPr>
            <w:tcW w:w="190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before="100" w:beforeAutospacing="1" w:after="100" w:afterAutospacing="1" w:line="270" w:lineRule="atLeast"/>
              <w:jc w:val="right"/>
              <w:rPr>
                <w:rFonts w:ascii="宋体" w:hAnsi="宋体" w:eastAsia="宋体" w:cs="宋体"/>
                <w:color w:val="102401"/>
                <w:kern w:val="0"/>
                <w:sz w:val="24"/>
                <w:szCs w:val="24"/>
              </w:rPr>
            </w:pPr>
            <w:r>
              <w:rPr>
                <w:rFonts w:hint="eastAsia" w:ascii="宋体" w:hAnsi="宋体" w:eastAsia="宋体" w:cs="宋体"/>
                <w:b/>
                <w:bCs/>
                <w:color w:val="102401"/>
                <w:kern w:val="0"/>
                <w:sz w:val="24"/>
                <w:szCs w:val="24"/>
              </w:rPr>
              <w:t>法人代表姓名:</w:t>
            </w:r>
          </w:p>
        </w:tc>
        <w:tc>
          <w:tcPr>
            <w:tcW w:w="6660" w:type="dxa"/>
            <w:gridSpan w:val="5"/>
            <w:tcBorders>
              <w:top w:val="nil"/>
              <w:left w:val="nil"/>
              <w:bottom w:val="single" w:color="auto" w:sz="8" w:space="0"/>
              <w:right w:val="single" w:color="auto" w:sz="8" w:space="0"/>
            </w:tcBorders>
            <w:tcMar>
              <w:top w:w="0" w:type="dxa"/>
              <w:left w:w="108" w:type="dxa"/>
              <w:bottom w:w="0" w:type="dxa"/>
              <w:right w:w="108" w:type="dxa"/>
            </w:tcMar>
            <w:vAlign w:val="bottom"/>
          </w:tcPr>
          <w:p>
            <w:pPr>
              <w:widowControl/>
              <w:spacing w:before="100" w:beforeAutospacing="1" w:after="100" w:afterAutospacing="1" w:line="270" w:lineRule="atLeast"/>
              <w:jc w:val="left"/>
              <w:rPr>
                <w:rFonts w:ascii="宋体" w:hAnsi="宋体" w:eastAsia="宋体" w:cs="宋体"/>
                <w:color w:val="102401"/>
                <w:kern w:val="0"/>
                <w:sz w:val="24"/>
                <w:szCs w:val="24"/>
              </w:rPr>
            </w:pPr>
            <w:r>
              <w:rPr>
                <w:rFonts w:hint="eastAsia" w:ascii="宋体" w:hAnsi="宋体" w:eastAsia="宋体" w:cs="宋体"/>
                <w:color w:val="102401"/>
                <w:kern w:val="0"/>
                <w:sz w:val="24"/>
                <w:szCs w:val="24"/>
              </w:rPr>
              <w:t>无</w:t>
            </w:r>
          </w:p>
        </w:tc>
      </w:tr>
      <w:tr>
        <w:tblPrEx>
          <w:tblCellMar>
            <w:top w:w="0" w:type="dxa"/>
            <w:left w:w="0" w:type="dxa"/>
            <w:bottom w:w="0" w:type="dxa"/>
            <w:right w:w="0" w:type="dxa"/>
          </w:tblCellMar>
        </w:tblPrEx>
        <w:trPr>
          <w:trHeight w:val="285" w:hRule="atLeast"/>
          <w:jc w:val="center"/>
        </w:trPr>
        <w:tc>
          <w:tcPr>
            <w:tcW w:w="190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before="100" w:beforeAutospacing="1" w:after="100" w:afterAutospacing="1" w:line="270" w:lineRule="atLeast"/>
              <w:jc w:val="right"/>
              <w:rPr>
                <w:rFonts w:ascii="宋体" w:hAnsi="宋体" w:eastAsia="宋体" w:cs="宋体"/>
                <w:color w:val="102401"/>
                <w:kern w:val="0"/>
                <w:sz w:val="24"/>
                <w:szCs w:val="24"/>
              </w:rPr>
            </w:pPr>
            <w:r>
              <w:rPr>
                <w:rFonts w:hint="eastAsia" w:ascii="宋体" w:hAnsi="宋体" w:eastAsia="宋体" w:cs="宋体"/>
                <w:b/>
                <w:bCs/>
                <w:color w:val="102401"/>
                <w:kern w:val="0"/>
                <w:sz w:val="24"/>
                <w:szCs w:val="24"/>
              </w:rPr>
              <w:t>处罚决定日期:</w:t>
            </w:r>
          </w:p>
        </w:tc>
        <w:tc>
          <w:tcPr>
            <w:tcW w:w="6660" w:type="dxa"/>
            <w:gridSpan w:val="5"/>
            <w:tcBorders>
              <w:top w:val="nil"/>
              <w:left w:val="nil"/>
              <w:bottom w:val="single" w:color="auto" w:sz="8" w:space="0"/>
              <w:right w:val="single" w:color="000000" w:sz="8" w:space="0"/>
            </w:tcBorders>
            <w:tcMar>
              <w:top w:w="0" w:type="dxa"/>
              <w:left w:w="108" w:type="dxa"/>
              <w:bottom w:w="0" w:type="dxa"/>
              <w:right w:w="108" w:type="dxa"/>
            </w:tcMar>
            <w:vAlign w:val="bottom"/>
          </w:tcPr>
          <w:p>
            <w:pPr>
              <w:widowControl/>
              <w:spacing w:before="100" w:beforeAutospacing="1" w:after="100" w:afterAutospacing="1" w:line="270" w:lineRule="atLeast"/>
              <w:jc w:val="left"/>
              <w:rPr>
                <w:rFonts w:ascii="宋体" w:hAnsi="宋体" w:eastAsia="宋体" w:cs="宋体"/>
                <w:color w:val="102401"/>
                <w:kern w:val="0"/>
                <w:sz w:val="24"/>
                <w:szCs w:val="24"/>
              </w:rPr>
            </w:pPr>
            <w:r>
              <w:rPr>
                <w:rFonts w:hint="eastAsia" w:ascii="宋体" w:hAnsi="宋体" w:eastAsia="宋体" w:cs="宋体"/>
                <w:color w:val="102401"/>
                <w:kern w:val="0"/>
                <w:sz w:val="24"/>
                <w:szCs w:val="24"/>
              </w:rPr>
              <w:t>2017/12/22</w:t>
            </w:r>
          </w:p>
        </w:tc>
      </w:tr>
      <w:tr>
        <w:tblPrEx>
          <w:tblCellMar>
            <w:top w:w="0" w:type="dxa"/>
            <w:left w:w="0" w:type="dxa"/>
            <w:bottom w:w="0" w:type="dxa"/>
            <w:right w:w="0" w:type="dxa"/>
          </w:tblCellMar>
        </w:tblPrEx>
        <w:trPr>
          <w:trHeight w:val="285" w:hRule="atLeast"/>
          <w:jc w:val="center"/>
        </w:trPr>
        <w:tc>
          <w:tcPr>
            <w:tcW w:w="190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before="100" w:beforeAutospacing="1" w:after="100" w:afterAutospacing="1" w:line="270" w:lineRule="atLeast"/>
              <w:jc w:val="right"/>
              <w:rPr>
                <w:rFonts w:ascii="宋体" w:hAnsi="宋体" w:eastAsia="宋体" w:cs="宋体"/>
                <w:color w:val="102401"/>
                <w:kern w:val="0"/>
                <w:sz w:val="24"/>
                <w:szCs w:val="24"/>
              </w:rPr>
            </w:pPr>
            <w:r>
              <w:rPr>
                <w:rFonts w:hint="eastAsia" w:ascii="宋体" w:hAnsi="宋体" w:eastAsia="宋体" w:cs="宋体"/>
                <w:b/>
                <w:bCs/>
                <w:color w:val="102401"/>
                <w:kern w:val="0"/>
                <w:sz w:val="24"/>
                <w:szCs w:val="24"/>
              </w:rPr>
              <w:t>处罚机关:</w:t>
            </w:r>
          </w:p>
        </w:tc>
        <w:tc>
          <w:tcPr>
            <w:tcW w:w="6660" w:type="dxa"/>
            <w:gridSpan w:val="5"/>
            <w:tcBorders>
              <w:top w:val="nil"/>
              <w:left w:val="nil"/>
              <w:bottom w:val="single" w:color="auto" w:sz="8" w:space="0"/>
              <w:right w:val="single" w:color="auto" w:sz="8" w:space="0"/>
            </w:tcBorders>
            <w:tcMar>
              <w:top w:w="0" w:type="dxa"/>
              <w:left w:w="108" w:type="dxa"/>
              <w:bottom w:w="0" w:type="dxa"/>
              <w:right w:w="108" w:type="dxa"/>
            </w:tcMar>
            <w:vAlign w:val="bottom"/>
          </w:tcPr>
          <w:p>
            <w:pPr>
              <w:widowControl/>
              <w:spacing w:before="100" w:beforeAutospacing="1" w:after="100" w:afterAutospacing="1" w:line="270" w:lineRule="atLeast"/>
              <w:jc w:val="left"/>
              <w:rPr>
                <w:rFonts w:ascii="宋体" w:hAnsi="宋体" w:eastAsia="宋体" w:cs="宋体"/>
                <w:color w:val="102401"/>
                <w:kern w:val="0"/>
                <w:sz w:val="24"/>
                <w:szCs w:val="24"/>
              </w:rPr>
            </w:pPr>
            <w:r>
              <w:rPr>
                <w:rFonts w:hint="eastAsia" w:ascii="宋体" w:hAnsi="宋体" w:eastAsia="宋体" w:cs="宋体"/>
                <w:color w:val="102401"/>
                <w:kern w:val="0"/>
                <w:sz w:val="24"/>
                <w:szCs w:val="24"/>
              </w:rPr>
              <w:t>广州市环境保护局</w:t>
            </w:r>
          </w:p>
        </w:tc>
      </w:tr>
      <w:tr>
        <w:tblPrEx>
          <w:tblCellMar>
            <w:top w:w="0" w:type="dxa"/>
            <w:left w:w="0" w:type="dxa"/>
            <w:bottom w:w="0" w:type="dxa"/>
            <w:right w:w="0" w:type="dxa"/>
          </w:tblCellMar>
        </w:tblPrEx>
        <w:trPr>
          <w:trHeight w:val="285" w:hRule="atLeast"/>
          <w:jc w:val="center"/>
        </w:trPr>
        <w:tc>
          <w:tcPr>
            <w:tcW w:w="190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before="100" w:beforeAutospacing="1" w:after="100" w:afterAutospacing="1" w:line="270" w:lineRule="atLeast"/>
              <w:jc w:val="right"/>
              <w:rPr>
                <w:rFonts w:ascii="宋体" w:hAnsi="宋体" w:eastAsia="宋体" w:cs="宋体"/>
                <w:color w:val="102401"/>
                <w:kern w:val="0"/>
                <w:sz w:val="24"/>
                <w:szCs w:val="24"/>
              </w:rPr>
            </w:pPr>
            <w:r>
              <w:rPr>
                <w:rFonts w:hint="eastAsia" w:ascii="宋体" w:hAnsi="宋体" w:eastAsia="宋体" w:cs="宋体"/>
                <w:b/>
                <w:bCs/>
                <w:color w:val="102401"/>
                <w:kern w:val="0"/>
                <w:sz w:val="24"/>
                <w:szCs w:val="24"/>
              </w:rPr>
              <w:t>地方编码:</w:t>
            </w:r>
          </w:p>
        </w:tc>
        <w:tc>
          <w:tcPr>
            <w:tcW w:w="6660" w:type="dxa"/>
            <w:gridSpan w:val="5"/>
            <w:tcBorders>
              <w:top w:val="nil"/>
              <w:left w:val="nil"/>
              <w:bottom w:val="single" w:color="auto" w:sz="8" w:space="0"/>
              <w:right w:val="single" w:color="000000" w:sz="8" w:space="0"/>
            </w:tcBorders>
            <w:tcMar>
              <w:top w:w="0" w:type="dxa"/>
              <w:left w:w="108" w:type="dxa"/>
              <w:bottom w:w="0" w:type="dxa"/>
              <w:right w:w="108" w:type="dxa"/>
            </w:tcMar>
            <w:vAlign w:val="bottom"/>
          </w:tcPr>
          <w:p>
            <w:pPr>
              <w:widowControl/>
              <w:spacing w:before="100" w:beforeAutospacing="1" w:after="100" w:afterAutospacing="1" w:line="270" w:lineRule="atLeast"/>
              <w:jc w:val="left"/>
              <w:rPr>
                <w:rFonts w:ascii="宋体" w:hAnsi="宋体" w:eastAsia="宋体" w:cs="宋体"/>
                <w:color w:val="102401"/>
                <w:kern w:val="0"/>
                <w:sz w:val="24"/>
                <w:szCs w:val="24"/>
              </w:rPr>
            </w:pPr>
            <w:r>
              <w:rPr>
                <w:rFonts w:hint="eastAsia" w:ascii="宋体" w:hAnsi="宋体" w:eastAsia="宋体" w:cs="宋体"/>
                <w:color w:val="102401"/>
                <w:kern w:val="0"/>
                <w:sz w:val="24"/>
                <w:szCs w:val="24"/>
              </w:rPr>
              <w:t>400100</w:t>
            </w:r>
          </w:p>
        </w:tc>
      </w:tr>
      <w:tr>
        <w:tblPrEx>
          <w:tblCellMar>
            <w:top w:w="0" w:type="dxa"/>
            <w:left w:w="0" w:type="dxa"/>
            <w:bottom w:w="0" w:type="dxa"/>
            <w:right w:w="0" w:type="dxa"/>
          </w:tblCellMar>
        </w:tblPrEx>
        <w:trPr>
          <w:trHeight w:val="285" w:hRule="atLeast"/>
          <w:jc w:val="center"/>
        </w:trPr>
        <w:tc>
          <w:tcPr>
            <w:tcW w:w="190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before="100" w:beforeAutospacing="1" w:after="100" w:afterAutospacing="1" w:line="270" w:lineRule="atLeast"/>
              <w:jc w:val="right"/>
              <w:rPr>
                <w:rFonts w:ascii="宋体" w:hAnsi="宋体" w:eastAsia="宋体" w:cs="宋体"/>
                <w:color w:val="102401"/>
                <w:kern w:val="0"/>
                <w:sz w:val="24"/>
                <w:szCs w:val="24"/>
              </w:rPr>
            </w:pPr>
            <w:r>
              <w:rPr>
                <w:rFonts w:hint="eastAsia" w:ascii="宋体" w:hAnsi="宋体" w:eastAsia="宋体" w:cs="宋体"/>
                <w:b/>
                <w:bCs/>
                <w:color w:val="102401"/>
                <w:kern w:val="0"/>
                <w:sz w:val="24"/>
                <w:szCs w:val="24"/>
              </w:rPr>
              <w:t>当前状态:</w:t>
            </w:r>
          </w:p>
        </w:tc>
        <w:tc>
          <w:tcPr>
            <w:tcW w:w="6660" w:type="dxa"/>
            <w:gridSpan w:val="5"/>
            <w:tcBorders>
              <w:top w:val="nil"/>
              <w:left w:val="nil"/>
              <w:bottom w:val="single" w:color="auto" w:sz="8" w:space="0"/>
              <w:right w:val="single" w:color="auto" w:sz="8" w:space="0"/>
            </w:tcBorders>
            <w:tcMar>
              <w:top w:w="0" w:type="dxa"/>
              <w:left w:w="108" w:type="dxa"/>
              <w:bottom w:w="0" w:type="dxa"/>
              <w:right w:w="108" w:type="dxa"/>
            </w:tcMar>
            <w:vAlign w:val="bottom"/>
          </w:tcPr>
          <w:p>
            <w:pPr>
              <w:widowControl/>
              <w:spacing w:before="100" w:beforeAutospacing="1" w:after="100" w:afterAutospacing="1" w:line="270" w:lineRule="atLeast"/>
              <w:jc w:val="left"/>
              <w:rPr>
                <w:rFonts w:ascii="宋体" w:hAnsi="宋体" w:eastAsia="宋体" w:cs="宋体"/>
                <w:color w:val="102401"/>
                <w:kern w:val="0"/>
                <w:sz w:val="24"/>
                <w:szCs w:val="24"/>
              </w:rPr>
            </w:pPr>
            <w:r>
              <w:rPr>
                <w:rFonts w:hint="eastAsia" w:ascii="宋体" w:hAnsi="宋体" w:eastAsia="宋体" w:cs="宋体"/>
                <w:color w:val="102401"/>
                <w:kern w:val="0"/>
                <w:sz w:val="24"/>
                <w:szCs w:val="24"/>
              </w:rPr>
              <w:t>正常</w:t>
            </w:r>
          </w:p>
        </w:tc>
      </w:tr>
      <w:tr>
        <w:tblPrEx>
          <w:tblCellMar>
            <w:top w:w="0" w:type="dxa"/>
            <w:left w:w="0" w:type="dxa"/>
            <w:bottom w:w="0" w:type="dxa"/>
            <w:right w:w="0" w:type="dxa"/>
          </w:tblCellMar>
        </w:tblPrEx>
        <w:trPr>
          <w:trHeight w:val="285" w:hRule="atLeast"/>
          <w:jc w:val="center"/>
        </w:trPr>
        <w:tc>
          <w:tcPr>
            <w:tcW w:w="190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before="100" w:beforeAutospacing="1" w:after="100" w:afterAutospacing="1" w:line="270" w:lineRule="atLeast"/>
              <w:jc w:val="right"/>
              <w:rPr>
                <w:rFonts w:ascii="宋体" w:hAnsi="宋体" w:eastAsia="宋体" w:cs="宋体"/>
                <w:color w:val="102401"/>
                <w:kern w:val="0"/>
                <w:sz w:val="24"/>
                <w:szCs w:val="24"/>
              </w:rPr>
            </w:pPr>
            <w:r>
              <w:rPr>
                <w:rFonts w:hint="eastAsia" w:ascii="宋体" w:hAnsi="宋体" w:eastAsia="宋体" w:cs="宋体"/>
                <w:b/>
                <w:bCs/>
                <w:color w:val="102401"/>
                <w:kern w:val="0"/>
                <w:sz w:val="24"/>
                <w:szCs w:val="24"/>
              </w:rPr>
              <w:t>数据更新时间戳:</w:t>
            </w:r>
          </w:p>
        </w:tc>
        <w:tc>
          <w:tcPr>
            <w:tcW w:w="6660" w:type="dxa"/>
            <w:gridSpan w:val="5"/>
            <w:tcBorders>
              <w:top w:val="nil"/>
              <w:left w:val="nil"/>
              <w:bottom w:val="single" w:color="auto" w:sz="8" w:space="0"/>
              <w:right w:val="single" w:color="auto" w:sz="8" w:space="0"/>
            </w:tcBorders>
            <w:tcMar>
              <w:top w:w="0" w:type="dxa"/>
              <w:left w:w="108" w:type="dxa"/>
              <w:bottom w:w="0" w:type="dxa"/>
              <w:right w:w="108" w:type="dxa"/>
            </w:tcMar>
            <w:vAlign w:val="bottom"/>
          </w:tcPr>
          <w:p>
            <w:pPr>
              <w:widowControl/>
              <w:spacing w:before="100" w:beforeAutospacing="1" w:after="100" w:afterAutospacing="1" w:line="270" w:lineRule="atLeast"/>
              <w:jc w:val="left"/>
              <w:rPr>
                <w:rFonts w:ascii="宋体" w:hAnsi="宋体" w:eastAsia="宋体" w:cs="宋体"/>
                <w:color w:val="102401"/>
                <w:kern w:val="0"/>
                <w:sz w:val="24"/>
                <w:szCs w:val="24"/>
              </w:rPr>
            </w:pPr>
            <w:r>
              <w:rPr>
                <w:rFonts w:hint="eastAsia" w:ascii="宋体" w:hAnsi="宋体" w:eastAsia="宋体" w:cs="宋体"/>
                <w:color w:val="102401"/>
                <w:kern w:val="0"/>
                <w:sz w:val="24"/>
                <w:szCs w:val="24"/>
              </w:rPr>
              <w:t>2017/12/22</w:t>
            </w:r>
          </w:p>
        </w:tc>
      </w:tr>
      <w:tr>
        <w:tblPrEx>
          <w:tblCellMar>
            <w:top w:w="0" w:type="dxa"/>
            <w:left w:w="0" w:type="dxa"/>
            <w:bottom w:w="0" w:type="dxa"/>
            <w:right w:w="0" w:type="dxa"/>
          </w:tblCellMar>
        </w:tblPrEx>
        <w:trPr>
          <w:trHeight w:val="285" w:hRule="atLeast"/>
          <w:jc w:val="center"/>
        </w:trPr>
        <w:tc>
          <w:tcPr>
            <w:tcW w:w="190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before="100" w:beforeAutospacing="1" w:after="100" w:afterAutospacing="1" w:line="270" w:lineRule="atLeast"/>
              <w:jc w:val="right"/>
              <w:rPr>
                <w:rFonts w:ascii="宋体" w:hAnsi="宋体" w:eastAsia="宋体" w:cs="宋体"/>
                <w:color w:val="102401"/>
                <w:kern w:val="0"/>
                <w:sz w:val="24"/>
                <w:szCs w:val="24"/>
              </w:rPr>
            </w:pPr>
            <w:r>
              <w:rPr>
                <w:rFonts w:hint="eastAsia" w:ascii="宋体" w:hAnsi="宋体" w:eastAsia="宋体" w:cs="宋体"/>
                <w:b/>
                <w:bCs/>
                <w:color w:val="102401"/>
                <w:kern w:val="0"/>
                <w:sz w:val="24"/>
                <w:szCs w:val="24"/>
              </w:rPr>
              <w:t>备注:</w:t>
            </w:r>
          </w:p>
        </w:tc>
        <w:tc>
          <w:tcPr>
            <w:tcW w:w="6660" w:type="dxa"/>
            <w:gridSpan w:val="5"/>
            <w:tcBorders>
              <w:top w:val="nil"/>
              <w:left w:val="nil"/>
              <w:bottom w:val="single" w:color="auto" w:sz="8" w:space="0"/>
              <w:right w:val="single" w:color="auto" w:sz="8" w:space="0"/>
            </w:tcBorders>
            <w:tcMar>
              <w:top w:w="0" w:type="dxa"/>
              <w:left w:w="108" w:type="dxa"/>
              <w:bottom w:w="0" w:type="dxa"/>
              <w:right w:w="108" w:type="dxa"/>
            </w:tcMar>
            <w:vAlign w:val="bottom"/>
          </w:tcPr>
          <w:p>
            <w:pPr>
              <w:widowControl/>
              <w:spacing w:before="100" w:beforeAutospacing="1" w:after="100" w:afterAutospacing="1" w:line="270" w:lineRule="atLeast"/>
              <w:jc w:val="left"/>
              <w:rPr>
                <w:rFonts w:ascii="宋体" w:hAnsi="宋体" w:eastAsia="宋体" w:cs="宋体"/>
                <w:color w:val="102401"/>
                <w:kern w:val="0"/>
                <w:sz w:val="24"/>
                <w:szCs w:val="24"/>
              </w:rPr>
            </w:pPr>
            <w:r>
              <w:rPr>
                <w:rFonts w:hint="eastAsia" w:ascii="宋体" w:hAnsi="宋体" w:eastAsia="宋体" w:cs="宋体"/>
                <w:color w:val="102401"/>
                <w:kern w:val="0"/>
                <w:sz w:val="24"/>
                <w:szCs w:val="24"/>
              </w:rPr>
              <w:t> </w:t>
            </w:r>
          </w:p>
        </w:tc>
      </w:tr>
    </w:tbl>
    <w:p>
      <w:pPr>
        <w:widowControl/>
        <w:wordWrap w:val="0"/>
        <w:spacing w:line="432" w:lineRule="auto"/>
        <w:jc w:val="center"/>
        <w:rPr>
          <w:rFonts w:ascii="宋体" w:hAnsi="宋体" w:eastAsia="宋体" w:cs="宋体"/>
          <w:color w:val="102401"/>
          <w:kern w:val="0"/>
          <w:sz w:val="24"/>
          <w:szCs w:val="24"/>
        </w:rPr>
      </w:pPr>
      <w:r>
        <w:rPr>
          <w:rFonts w:ascii="宋体" w:hAnsi="宋体" w:eastAsia="宋体" w:cs="宋体"/>
          <w:color w:val="102401"/>
          <w:kern w:val="0"/>
          <w:sz w:val="24"/>
          <w:szCs w:val="24"/>
        </w:rPr>
        <w:t> </w:t>
      </w:r>
    </w:p>
    <w:p>
      <w:pPr>
        <w:widowControl/>
        <w:wordWrap w:val="0"/>
        <w:spacing w:line="432" w:lineRule="auto"/>
        <w:jc w:val="center"/>
        <w:rPr>
          <w:rFonts w:ascii="宋体" w:hAnsi="宋体" w:eastAsia="宋体" w:cs="宋体"/>
          <w:color w:val="102401"/>
          <w:kern w:val="0"/>
          <w:sz w:val="24"/>
          <w:szCs w:val="24"/>
        </w:rPr>
      </w:pPr>
      <w:r>
        <w:rPr>
          <w:rFonts w:ascii="宋体" w:hAnsi="宋体" w:eastAsia="宋体" w:cs="宋体"/>
          <w:color w:val="102401"/>
          <w:kern w:val="0"/>
          <w:sz w:val="24"/>
          <w:szCs w:val="24"/>
        </w:rPr>
        <w:t> </w:t>
      </w:r>
    </w:p>
    <w:p>
      <w:pPr>
        <w:widowControl/>
        <w:wordWrap w:val="0"/>
        <w:spacing w:before="100" w:beforeAutospacing="1" w:after="100" w:afterAutospacing="1" w:line="360" w:lineRule="auto"/>
        <w:jc w:val="left"/>
        <w:rPr>
          <w:rFonts w:ascii="宋体" w:hAnsi="宋体" w:eastAsia="宋体" w:cs="宋体"/>
          <w:color w:val="102401"/>
          <w:kern w:val="0"/>
          <w:sz w:val="24"/>
          <w:szCs w:val="24"/>
        </w:rPr>
      </w:pPr>
      <w:r>
        <w:rPr>
          <w:rFonts w:ascii="宋体" w:hAnsi="宋体" w:eastAsia="宋体" w:cs="宋体"/>
          <w:b/>
          <w:bCs/>
          <w:color w:val="102401"/>
          <w:kern w:val="0"/>
          <w:sz w:val="30"/>
        </w:rPr>
        <w:t>全文信息</w:t>
      </w:r>
    </w:p>
    <w:p>
      <w:pPr>
        <w:widowControl/>
        <w:wordWrap w:val="0"/>
        <w:spacing w:line="360" w:lineRule="auto"/>
        <w:jc w:val="left"/>
        <w:rPr>
          <w:rFonts w:ascii="宋体" w:hAnsi="宋体" w:eastAsia="宋体" w:cs="宋体"/>
          <w:color w:val="102401"/>
          <w:kern w:val="0"/>
          <w:sz w:val="24"/>
          <w:szCs w:val="24"/>
        </w:rPr>
      </w:pPr>
      <w:r>
        <w:rPr>
          <w:rFonts w:ascii="宋体" w:hAnsi="宋体" w:eastAsia="宋体" w:cs="宋体"/>
          <w:color w:val="102401"/>
          <w:kern w:val="0"/>
          <w:sz w:val="24"/>
          <w:szCs w:val="24"/>
        </w:rPr>
        <w:t> </w:t>
      </w:r>
    </w:p>
    <w:p>
      <w:pPr>
        <w:widowControl/>
        <w:wordWrap w:val="0"/>
        <w:spacing w:line="360" w:lineRule="auto"/>
        <w:jc w:val="left"/>
        <w:rPr>
          <w:rFonts w:ascii="宋体" w:hAnsi="宋体" w:eastAsia="宋体" w:cs="宋体"/>
          <w:color w:val="102401"/>
          <w:kern w:val="0"/>
          <w:sz w:val="24"/>
          <w:szCs w:val="24"/>
        </w:rPr>
      </w:pPr>
      <w:r>
        <w:rPr>
          <w:rFonts w:ascii="宋体" w:hAnsi="宋体" w:eastAsia="宋体" w:cs="宋体"/>
          <w:color w:val="102401"/>
          <w:kern w:val="0"/>
          <w:sz w:val="24"/>
          <w:szCs w:val="24"/>
        </w:rPr>
        <w:t> </w:t>
      </w:r>
    </w:p>
    <w:p>
      <w:pPr>
        <w:widowControl/>
        <w:spacing w:before="100" w:beforeAutospacing="1" w:after="100" w:afterAutospacing="1" w:line="360" w:lineRule="auto"/>
        <w:jc w:val="center"/>
        <w:rPr>
          <w:rFonts w:ascii="宋体" w:hAnsi="宋体" w:eastAsia="宋体" w:cs="宋体"/>
          <w:color w:val="102401"/>
          <w:kern w:val="0"/>
          <w:sz w:val="24"/>
          <w:szCs w:val="24"/>
        </w:rPr>
      </w:pPr>
      <w:r>
        <w:rPr>
          <w:rFonts w:ascii="宋体" w:hAnsi="宋体" w:eastAsia="宋体" w:cs="宋体"/>
          <w:b/>
          <w:bCs/>
          <w:color w:val="102401"/>
          <w:kern w:val="0"/>
          <w:sz w:val="48"/>
        </w:rPr>
        <w:t>行政处罚决定书</w:t>
      </w:r>
    </w:p>
    <w:p>
      <w:pPr>
        <w:widowControl/>
        <w:spacing w:before="100" w:beforeAutospacing="1" w:after="100" w:afterAutospacing="1" w:line="360" w:lineRule="auto"/>
        <w:jc w:val="center"/>
        <w:rPr>
          <w:rFonts w:ascii="宋体" w:hAnsi="宋体" w:eastAsia="宋体" w:cs="宋体"/>
          <w:color w:val="102401"/>
          <w:kern w:val="0"/>
          <w:sz w:val="24"/>
          <w:szCs w:val="24"/>
        </w:rPr>
      </w:pPr>
      <w:r>
        <w:rPr>
          <w:rFonts w:ascii="宋体" w:hAnsi="宋体" w:eastAsia="宋体" w:cs="宋体"/>
          <w:color w:val="102401"/>
          <w:kern w:val="0"/>
          <w:sz w:val="30"/>
          <w:szCs w:val="30"/>
        </w:rPr>
        <w:t>穗环法罚〔2017〕95号</w:t>
      </w:r>
    </w:p>
    <w:p>
      <w:pPr>
        <w:widowControl/>
        <w:wordWrap w:val="0"/>
        <w:spacing w:before="100" w:beforeAutospacing="1" w:after="100" w:afterAutospacing="1" w:line="360" w:lineRule="auto"/>
        <w:jc w:val="left"/>
        <w:rPr>
          <w:rFonts w:ascii="宋体" w:hAnsi="宋体" w:eastAsia="宋体" w:cs="宋体"/>
          <w:color w:val="102401"/>
          <w:kern w:val="0"/>
          <w:sz w:val="24"/>
          <w:szCs w:val="24"/>
        </w:rPr>
      </w:pPr>
      <w:r>
        <w:rPr>
          <w:rFonts w:ascii="宋体" w:hAnsi="宋体" w:eastAsia="宋体" w:cs="宋体"/>
          <w:color w:val="102401"/>
          <w:kern w:val="0"/>
          <w:sz w:val="24"/>
          <w:szCs w:val="24"/>
        </w:rPr>
        <w:t> </w:t>
      </w:r>
    </w:p>
    <w:p>
      <w:pPr>
        <w:widowControl/>
        <w:wordWrap w:val="0"/>
        <w:spacing w:before="100" w:beforeAutospacing="1" w:after="100" w:afterAutospacing="1" w:line="600" w:lineRule="atLeast"/>
        <w:jc w:val="left"/>
        <w:rPr>
          <w:rFonts w:ascii="宋体" w:hAnsi="宋体" w:eastAsia="宋体" w:cs="宋体"/>
          <w:color w:val="102401"/>
          <w:kern w:val="0"/>
          <w:sz w:val="24"/>
          <w:szCs w:val="24"/>
        </w:rPr>
      </w:pPr>
      <w:r>
        <w:rPr>
          <w:rFonts w:hint="eastAsia" w:ascii="仿宋_GB2312" w:hAnsi="宋体" w:eastAsia="仿宋_GB2312" w:cs="宋体"/>
          <w:color w:val="102401"/>
          <w:kern w:val="0"/>
          <w:sz w:val="32"/>
          <w:szCs w:val="32"/>
        </w:rPr>
        <w:t>当事人：袁刚</w:t>
      </w:r>
    </w:p>
    <w:p>
      <w:pPr>
        <w:widowControl/>
        <w:wordWrap w:val="0"/>
        <w:spacing w:before="100" w:beforeAutospacing="1" w:after="100" w:afterAutospacing="1" w:line="500" w:lineRule="atLeast"/>
        <w:jc w:val="left"/>
        <w:rPr>
          <w:rFonts w:ascii="宋体" w:hAnsi="宋体" w:eastAsia="宋体" w:cs="宋体"/>
          <w:color w:val="102401"/>
          <w:kern w:val="0"/>
          <w:sz w:val="24"/>
          <w:szCs w:val="24"/>
        </w:rPr>
      </w:pPr>
      <w:r>
        <w:rPr>
          <w:rFonts w:hint="eastAsia" w:ascii="仿宋_GB2312" w:hAnsi="宋体" w:eastAsia="仿宋_GB2312" w:cs="宋体"/>
          <w:color w:val="102401"/>
          <w:kern w:val="0"/>
          <w:sz w:val="32"/>
          <w:szCs w:val="32"/>
        </w:rPr>
        <w:t>身份证号：</w:t>
      </w:r>
      <w:bookmarkStart w:id="0" w:name="_GoBack"/>
      <w:bookmarkEnd w:id="0"/>
      <w:r>
        <w:rPr>
          <w:rFonts w:ascii="宋体" w:hAnsi="宋体" w:eastAsia="宋体" w:cs="宋体"/>
          <w:color w:val="102401"/>
          <w:kern w:val="0"/>
          <w:sz w:val="32"/>
          <w:szCs w:val="32"/>
        </w:rPr>
        <w:t>513029</w:t>
      </w:r>
      <w:r>
        <w:rPr>
          <w:rFonts w:hint="eastAsia" w:ascii="宋体" w:hAnsi="宋体" w:eastAsia="宋体" w:cs="宋体"/>
          <w:color w:val="102401"/>
          <w:kern w:val="0"/>
          <w:sz w:val="32"/>
          <w:szCs w:val="32"/>
          <w:lang w:val="en-US" w:eastAsia="zh-CN"/>
        </w:rPr>
        <w:t>***********</w:t>
      </w:r>
      <w:r>
        <w:rPr>
          <w:rFonts w:ascii="宋体" w:hAnsi="宋体" w:eastAsia="宋体" w:cs="宋体"/>
          <w:color w:val="102401"/>
          <w:kern w:val="0"/>
          <w:sz w:val="32"/>
          <w:szCs w:val="32"/>
        </w:rPr>
        <w:t xml:space="preserve">2 </w:t>
      </w:r>
    </w:p>
    <w:p>
      <w:pPr>
        <w:widowControl/>
        <w:wordWrap w:val="0"/>
        <w:spacing w:before="100" w:beforeAutospacing="1" w:after="100" w:afterAutospacing="1" w:line="500" w:lineRule="atLeast"/>
        <w:jc w:val="left"/>
        <w:rPr>
          <w:rFonts w:ascii="宋体" w:hAnsi="宋体" w:eastAsia="宋体" w:cs="宋体"/>
          <w:color w:val="102401"/>
          <w:kern w:val="0"/>
          <w:sz w:val="24"/>
          <w:szCs w:val="24"/>
        </w:rPr>
      </w:pPr>
      <w:r>
        <w:rPr>
          <w:rFonts w:hint="eastAsia" w:ascii="仿宋_GB2312" w:hAnsi="宋体" w:eastAsia="仿宋_GB2312" w:cs="宋体"/>
          <w:color w:val="102401"/>
          <w:kern w:val="0"/>
          <w:sz w:val="32"/>
          <w:szCs w:val="32"/>
        </w:rPr>
        <w:t>地</w:t>
      </w:r>
      <w:r>
        <w:rPr>
          <w:rFonts w:ascii="宋体" w:hAnsi="宋体" w:eastAsia="宋体" w:cs="宋体"/>
          <w:color w:val="102401"/>
          <w:kern w:val="0"/>
          <w:sz w:val="32"/>
          <w:szCs w:val="32"/>
        </w:rPr>
        <w:t xml:space="preserve">  </w:t>
      </w:r>
      <w:r>
        <w:rPr>
          <w:rFonts w:hint="eastAsia" w:ascii="仿宋_GB2312" w:hAnsi="宋体" w:eastAsia="仿宋_GB2312" w:cs="宋体"/>
          <w:color w:val="102401"/>
          <w:kern w:val="0"/>
          <w:sz w:val="32"/>
          <w:szCs w:val="32"/>
        </w:rPr>
        <w:t>址：广州市白云区蛟腾街一巷</w:t>
      </w:r>
      <w:r>
        <w:rPr>
          <w:rFonts w:ascii="宋体" w:hAnsi="宋体" w:eastAsia="宋体" w:cs="宋体"/>
          <w:color w:val="102401"/>
          <w:kern w:val="0"/>
          <w:sz w:val="32"/>
          <w:szCs w:val="32"/>
        </w:rPr>
        <w:t>15</w:t>
      </w:r>
      <w:r>
        <w:rPr>
          <w:rFonts w:hint="eastAsia" w:ascii="仿宋_GB2312" w:hAnsi="宋体" w:eastAsia="仿宋_GB2312" w:cs="宋体"/>
          <w:color w:val="102401"/>
          <w:kern w:val="0"/>
          <w:sz w:val="32"/>
          <w:szCs w:val="32"/>
        </w:rPr>
        <w:t>号</w:t>
      </w:r>
      <w:r>
        <w:rPr>
          <w:rFonts w:ascii="宋体" w:hAnsi="宋体" w:eastAsia="宋体" w:cs="宋体"/>
          <w:color w:val="102401"/>
          <w:kern w:val="0"/>
          <w:sz w:val="32"/>
          <w:szCs w:val="32"/>
        </w:rPr>
        <w:t>9</w:t>
      </w:r>
      <w:r>
        <w:rPr>
          <w:rFonts w:hint="eastAsia" w:ascii="仿宋_GB2312" w:hAnsi="宋体" w:eastAsia="仿宋_GB2312" w:cs="宋体"/>
          <w:color w:val="102401"/>
          <w:kern w:val="0"/>
          <w:sz w:val="32"/>
          <w:szCs w:val="32"/>
        </w:rPr>
        <w:t>楼</w:t>
      </w:r>
    </w:p>
    <w:p>
      <w:pPr>
        <w:widowControl/>
        <w:wordWrap w:val="0"/>
        <w:spacing w:before="100" w:beforeAutospacing="1" w:after="100" w:afterAutospacing="1" w:line="600" w:lineRule="atLeast"/>
        <w:ind w:firstLine="640"/>
        <w:jc w:val="left"/>
        <w:rPr>
          <w:rFonts w:ascii="宋体" w:hAnsi="宋体" w:eastAsia="宋体" w:cs="宋体"/>
          <w:color w:val="102401"/>
          <w:kern w:val="0"/>
          <w:sz w:val="24"/>
          <w:szCs w:val="24"/>
        </w:rPr>
      </w:pPr>
      <w:r>
        <w:rPr>
          <w:rFonts w:hint="eastAsia" w:ascii="仿宋_GB2312" w:hAnsi="宋体" w:eastAsia="仿宋_GB2312" w:cs="宋体"/>
          <w:color w:val="102401"/>
          <w:kern w:val="0"/>
          <w:sz w:val="32"/>
          <w:szCs w:val="32"/>
        </w:rPr>
        <w:t>经我局执法监察支队</w:t>
      </w:r>
      <w:r>
        <w:rPr>
          <w:rFonts w:ascii="宋体" w:hAnsi="宋体" w:eastAsia="宋体" w:cs="宋体"/>
          <w:color w:val="102401"/>
          <w:kern w:val="0"/>
          <w:sz w:val="32"/>
          <w:szCs w:val="32"/>
        </w:rPr>
        <w:t>2017</w:t>
      </w:r>
      <w:r>
        <w:rPr>
          <w:rFonts w:hint="eastAsia" w:ascii="仿宋_GB2312" w:hAnsi="宋体" w:eastAsia="仿宋_GB2312" w:cs="宋体"/>
          <w:color w:val="102401"/>
          <w:kern w:val="0"/>
          <w:sz w:val="32"/>
          <w:szCs w:val="32"/>
        </w:rPr>
        <w:t>年</w:t>
      </w:r>
      <w:r>
        <w:rPr>
          <w:rFonts w:ascii="宋体" w:hAnsi="宋体" w:eastAsia="宋体" w:cs="宋体"/>
          <w:color w:val="102401"/>
          <w:kern w:val="0"/>
          <w:sz w:val="32"/>
          <w:szCs w:val="32"/>
        </w:rPr>
        <w:t>10</w:t>
      </w:r>
      <w:r>
        <w:rPr>
          <w:rFonts w:hint="eastAsia" w:ascii="仿宋_GB2312" w:hAnsi="宋体" w:eastAsia="仿宋_GB2312" w:cs="宋体"/>
          <w:color w:val="102401"/>
          <w:kern w:val="0"/>
          <w:sz w:val="32"/>
          <w:szCs w:val="32"/>
        </w:rPr>
        <w:t>月</w:t>
      </w:r>
      <w:r>
        <w:rPr>
          <w:rFonts w:ascii="宋体" w:hAnsi="宋体" w:eastAsia="宋体" w:cs="宋体"/>
          <w:color w:val="102401"/>
          <w:kern w:val="0"/>
          <w:sz w:val="32"/>
          <w:szCs w:val="32"/>
        </w:rPr>
        <w:t>31</w:t>
      </w:r>
      <w:r>
        <w:rPr>
          <w:rFonts w:hint="eastAsia" w:ascii="仿宋_GB2312" w:hAnsi="宋体" w:eastAsia="仿宋_GB2312" w:cs="宋体"/>
          <w:color w:val="102401"/>
          <w:kern w:val="0"/>
          <w:sz w:val="32"/>
          <w:szCs w:val="32"/>
        </w:rPr>
        <w:t>日调查发现，当事人自</w:t>
      </w:r>
      <w:r>
        <w:rPr>
          <w:rFonts w:ascii="宋体" w:hAnsi="宋体" w:eastAsia="宋体" w:cs="宋体"/>
          <w:color w:val="102401"/>
          <w:kern w:val="0"/>
          <w:sz w:val="32"/>
          <w:szCs w:val="32"/>
        </w:rPr>
        <w:t>2016</w:t>
      </w:r>
      <w:r>
        <w:rPr>
          <w:rFonts w:hint="eastAsia" w:ascii="仿宋_GB2312" w:hAnsi="宋体" w:eastAsia="仿宋_GB2312" w:cs="宋体"/>
          <w:color w:val="102401"/>
          <w:kern w:val="0"/>
          <w:sz w:val="32"/>
          <w:szCs w:val="32"/>
        </w:rPr>
        <w:t>年</w:t>
      </w:r>
      <w:r>
        <w:rPr>
          <w:rFonts w:ascii="宋体" w:hAnsi="宋体" w:eastAsia="宋体" w:cs="宋体"/>
          <w:color w:val="102401"/>
          <w:kern w:val="0"/>
          <w:sz w:val="32"/>
          <w:szCs w:val="32"/>
        </w:rPr>
        <w:t>8</w:t>
      </w:r>
      <w:r>
        <w:rPr>
          <w:rFonts w:hint="eastAsia" w:ascii="仿宋_GB2312" w:hAnsi="宋体" w:eastAsia="仿宋_GB2312" w:cs="宋体"/>
          <w:color w:val="102401"/>
          <w:kern w:val="0"/>
          <w:sz w:val="32"/>
          <w:szCs w:val="32"/>
        </w:rPr>
        <w:t>月在我市白云区蛟腾街一巷</w:t>
      </w:r>
      <w:r>
        <w:rPr>
          <w:rFonts w:ascii="宋体" w:hAnsi="宋体" w:eastAsia="宋体" w:cs="宋体"/>
          <w:color w:val="102401"/>
          <w:kern w:val="0"/>
          <w:sz w:val="32"/>
          <w:szCs w:val="32"/>
        </w:rPr>
        <w:t>15</w:t>
      </w:r>
      <w:r>
        <w:rPr>
          <w:rFonts w:hint="eastAsia" w:ascii="仿宋_GB2312" w:hAnsi="宋体" w:eastAsia="仿宋_GB2312" w:cs="宋体"/>
          <w:color w:val="102401"/>
          <w:kern w:val="0"/>
          <w:sz w:val="32"/>
          <w:szCs w:val="32"/>
        </w:rPr>
        <w:t>号</w:t>
      </w:r>
      <w:r>
        <w:rPr>
          <w:rFonts w:ascii="宋体" w:hAnsi="宋体" w:eastAsia="宋体" w:cs="宋体"/>
          <w:color w:val="102401"/>
          <w:kern w:val="0"/>
          <w:sz w:val="32"/>
          <w:szCs w:val="32"/>
        </w:rPr>
        <w:t>9</w:t>
      </w:r>
      <w:r>
        <w:rPr>
          <w:rFonts w:hint="eastAsia" w:ascii="仿宋_GB2312" w:hAnsi="宋体" w:eastAsia="仿宋_GB2312" w:cs="宋体"/>
          <w:color w:val="102401"/>
          <w:kern w:val="0"/>
          <w:sz w:val="32"/>
          <w:szCs w:val="32"/>
        </w:rPr>
        <w:t>楼建成并投产的广州市创利五金厂（尚未办理工商登记手续）项目，投资总额约</w:t>
      </w:r>
      <w:r>
        <w:rPr>
          <w:rFonts w:ascii="宋体" w:hAnsi="宋体" w:eastAsia="宋体" w:cs="宋体"/>
          <w:color w:val="102401"/>
          <w:kern w:val="0"/>
          <w:sz w:val="32"/>
          <w:szCs w:val="32"/>
        </w:rPr>
        <w:t>3</w:t>
      </w:r>
      <w:r>
        <w:rPr>
          <w:rFonts w:hint="eastAsia" w:ascii="仿宋_GB2312" w:hAnsi="宋体" w:eastAsia="仿宋_GB2312" w:cs="宋体"/>
          <w:color w:val="102401"/>
          <w:kern w:val="0"/>
          <w:sz w:val="32"/>
          <w:szCs w:val="32"/>
        </w:rPr>
        <w:t>万元；该项目主营手表表面加工，设有电镀、喷涂、丝印、五金等</w:t>
      </w:r>
      <w:r>
        <w:rPr>
          <w:rFonts w:ascii="宋体" w:hAnsi="宋体" w:eastAsia="宋体" w:cs="宋体"/>
          <w:color w:val="102401"/>
          <w:kern w:val="0"/>
          <w:sz w:val="32"/>
          <w:szCs w:val="32"/>
        </w:rPr>
        <w:t>4</w:t>
      </w:r>
      <w:r>
        <w:rPr>
          <w:rFonts w:hint="eastAsia" w:ascii="仿宋_GB2312" w:hAnsi="宋体" w:eastAsia="仿宋_GB2312" w:cs="宋体"/>
          <w:color w:val="102401"/>
          <w:kern w:val="0"/>
          <w:sz w:val="32"/>
          <w:szCs w:val="32"/>
        </w:rPr>
        <w:t>个车间，尚未办理环境影响评价审批手续和排污许可证；项目产生的电镀工艺产生的除油和清洗等废水自行收集存储，并未经处理直接排入下水道；</w:t>
      </w:r>
      <w:r>
        <w:rPr>
          <w:rFonts w:ascii="宋体" w:hAnsi="宋体" w:eastAsia="宋体" w:cs="宋体"/>
          <w:color w:val="102401"/>
          <w:kern w:val="0"/>
          <w:sz w:val="32"/>
          <w:szCs w:val="32"/>
        </w:rPr>
        <w:t>2017</w:t>
      </w:r>
      <w:r>
        <w:rPr>
          <w:rFonts w:hint="eastAsia" w:ascii="仿宋_GB2312" w:hAnsi="宋体" w:eastAsia="仿宋_GB2312" w:cs="宋体"/>
          <w:color w:val="102401"/>
          <w:kern w:val="0"/>
          <w:sz w:val="32"/>
          <w:szCs w:val="32"/>
        </w:rPr>
        <w:t>年</w:t>
      </w:r>
      <w:r>
        <w:rPr>
          <w:rFonts w:ascii="宋体" w:hAnsi="宋体" w:eastAsia="宋体" w:cs="宋体"/>
          <w:color w:val="102401"/>
          <w:kern w:val="0"/>
          <w:sz w:val="32"/>
          <w:szCs w:val="32"/>
        </w:rPr>
        <w:t>10</w:t>
      </w:r>
      <w:r>
        <w:rPr>
          <w:rFonts w:hint="eastAsia" w:ascii="仿宋_GB2312" w:hAnsi="宋体" w:eastAsia="仿宋_GB2312" w:cs="宋体"/>
          <w:color w:val="102401"/>
          <w:kern w:val="0"/>
          <w:sz w:val="32"/>
          <w:szCs w:val="32"/>
        </w:rPr>
        <w:t>月</w:t>
      </w:r>
      <w:r>
        <w:rPr>
          <w:rFonts w:ascii="宋体" w:hAnsi="宋体" w:eastAsia="宋体" w:cs="宋体"/>
          <w:color w:val="102401"/>
          <w:kern w:val="0"/>
          <w:sz w:val="32"/>
          <w:szCs w:val="32"/>
        </w:rPr>
        <w:t>31</w:t>
      </w:r>
      <w:r>
        <w:rPr>
          <w:rFonts w:hint="eastAsia" w:ascii="仿宋_GB2312" w:hAnsi="宋体" w:eastAsia="仿宋_GB2312" w:cs="宋体"/>
          <w:color w:val="102401"/>
          <w:kern w:val="0"/>
          <w:sz w:val="32"/>
          <w:szCs w:val="32"/>
        </w:rPr>
        <w:t>日，该项目在正常生产情况下，经广州市环境监测中心站对除油废水储存器内的废水采样监测，其中总镍浓度为</w:t>
      </w:r>
      <w:r>
        <w:rPr>
          <w:rFonts w:ascii="宋体" w:hAnsi="宋体" w:eastAsia="宋体" w:cs="宋体"/>
          <w:color w:val="102401"/>
          <w:kern w:val="0"/>
          <w:sz w:val="32"/>
          <w:szCs w:val="32"/>
        </w:rPr>
        <w:t>1.76</w:t>
      </w:r>
      <w:r>
        <w:rPr>
          <w:rFonts w:hint="eastAsia" w:ascii="仿宋_GB2312" w:hAnsi="宋体" w:eastAsia="仿宋_GB2312" w:cs="宋体"/>
          <w:color w:val="102401"/>
          <w:kern w:val="0"/>
          <w:sz w:val="32"/>
          <w:szCs w:val="32"/>
        </w:rPr>
        <w:t>毫克</w:t>
      </w:r>
      <w:r>
        <w:rPr>
          <w:rFonts w:ascii="宋体" w:hAnsi="宋体" w:eastAsia="宋体" w:cs="宋体"/>
          <w:color w:val="102401"/>
          <w:kern w:val="0"/>
          <w:sz w:val="32"/>
          <w:szCs w:val="32"/>
        </w:rPr>
        <w:t>/</w:t>
      </w:r>
      <w:r>
        <w:rPr>
          <w:rFonts w:hint="eastAsia" w:ascii="仿宋_GB2312" w:hAnsi="宋体" w:eastAsia="仿宋_GB2312" w:cs="宋体"/>
          <w:color w:val="102401"/>
          <w:kern w:val="0"/>
          <w:sz w:val="32"/>
          <w:szCs w:val="32"/>
        </w:rPr>
        <w:t>升、总铬</w:t>
      </w:r>
      <w:r>
        <w:rPr>
          <w:rFonts w:ascii="宋体" w:hAnsi="宋体" w:eastAsia="宋体" w:cs="宋体"/>
          <w:color w:val="102401"/>
          <w:kern w:val="0"/>
          <w:sz w:val="32"/>
          <w:szCs w:val="32"/>
        </w:rPr>
        <w:t>1.40</w:t>
      </w:r>
      <w:r>
        <w:rPr>
          <w:rFonts w:hint="eastAsia" w:ascii="仿宋_GB2312" w:hAnsi="宋体" w:eastAsia="仿宋_GB2312" w:cs="宋体"/>
          <w:color w:val="102401"/>
          <w:kern w:val="0"/>
          <w:sz w:val="32"/>
          <w:szCs w:val="32"/>
        </w:rPr>
        <w:t>毫克</w:t>
      </w:r>
      <w:r>
        <w:rPr>
          <w:rFonts w:ascii="宋体" w:hAnsi="宋体" w:eastAsia="宋体" w:cs="宋体"/>
          <w:color w:val="102401"/>
          <w:kern w:val="0"/>
          <w:sz w:val="32"/>
          <w:szCs w:val="32"/>
        </w:rPr>
        <w:t>/</w:t>
      </w:r>
      <w:r>
        <w:rPr>
          <w:rFonts w:hint="eastAsia" w:ascii="仿宋_GB2312" w:hAnsi="宋体" w:eastAsia="仿宋_GB2312" w:cs="宋体"/>
          <w:color w:val="102401"/>
          <w:kern w:val="0"/>
          <w:sz w:val="32"/>
          <w:szCs w:val="32"/>
        </w:rPr>
        <w:t>升。</w:t>
      </w:r>
    </w:p>
    <w:p>
      <w:pPr>
        <w:widowControl/>
        <w:wordWrap w:val="0"/>
        <w:spacing w:before="100" w:beforeAutospacing="1" w:after="100" w:afterAutospacing="1" w:line="600" w:lineRule="atLeast"/>
        <w:ind w:firstLine="640"/>
        <w:jc w:val="left"/>
        <w:rPr>
          <w:rFonts w:ascii="宋体" w:hAnsi="宋体" w:eastAsia="宋体" w:cs="宋体"/>
          <w:color w:val="102401"/>
          <w:kern w:val="0"/>
          <w:sz w:val="24"/>
          <w:szCs w:val="24"/>
        </w:rPr>
      </w:pPr>
      <w:r>
        <w:rPr>
          <w:rFonts w:hint="eastAsia" w:ascii="仿宋_GB2312" w:hAnsi="宋体" w:eastAsia="仿宋_GB2312" w:cs="宋体"/>
          <w:color w:val="102401"/>
          <w:kern w:val="0"/>
          <w:sz w:val="32"/>
          <w:szCs w:val="32"/>
        </w:rPr>
        <w:t>以上事实，有《询问笔录》、《现场检查笔录》等证据为证。</w:t>
      </w:r>
    </w:p>
    <w:p>
      <w:pPr>
        <w:widowControl/>
        <w:wordWrap w:val="0"/>
        <w:snapToGrid w:val="0"/>
        <w:spacing w:before="100" w:beforeAutospacing="1" w:after="100" w:afterAutospacing="1" w:line="600" w:lineRule="atLeast"/>
        <w:ind w:firstLine="640"/>
        <w:jc w:val="left"/>
        <w:rPr>
          <w:rFonts w:ascii="宋体" w:hAnsi="宋体" w:eastAsia="宋体" w:cs="宋体"/>
          <w:color w:val="102401"/>
          <w:kern w:val="0"/>
          <w:sz w:val="24"/>
          <w:szCs w:val="24"/>
        </w:rPr>
      </w:pPr>
      <w:r>
        <w:rPr>
          <w:rFonts w:hint="eastAsia" w:ascii="仿宋_GB2312" w:hAnsi="宋体" w:eastAsia="仿宋_GB2312" w:cs="宋体"/>
          <w:color w:val="102401"/>
          <w:kern w:val="0"/>
          <w:sz w:val="32"/>
          <w:szCs w:val="32"/>
        </w:rPr>
        <w:t>当事人上述行为违反了中华人民共和国环境影响评价法》第二十二条第一款、《广东省环境保护条例》第二十一条和第二十五条等规定。</w:t>
      </w:r>
    </w:p>
    <w:p>
      <w:pPr>
        <w:widowControl/>
        <w:wordWrap w:val="0"/>
        <w:spacing w:before="100" w:beforeAutospacing="1" w:after="100" w:afterAutospacing="1" w:line="600" w:lineRule="atLeast"/>
        <w:ind w:firstLine="640"/>
        <w:jc w:val="left"/>
        <w:rPr>
          <w:rFonts w:ascii="宋体" w:hAnsi="宋体" w:eastAsia="宋体" w:cs="宋体"/>
          <w:color w:val="102401"/>
          <w:kern w:val="0"/>
          <w:sz w:val="24"/>
          <w:szCs w:val="24"/>
        </w:rPr>
      </w:pPr>
      <w:r>
        <w:rPr>
          <w:rFonts w:ascii="宋体" w:hAnsi="宋体" w:eastAsia="宋体" w:cs="宋体"/>
          <w:color w:val="102401"/>
          <w:kern w:val="0"/>
          <w:sz w:val="32"/>
          <w:szCs w:val="32"/>
        </w:rPr>
        <w:t>2017</w:t>
      </w:r>
      <w:r>
        <w:rPr>
          <w:rFonts w:hint="eastAsia" w:ascii="仿宋_GB2312" w:hAnsi="宋体" w:eastAsia="仿宋_GB2312" w:cs="宋体"/>
          <w:color w:val="102401"/>
          <w:kern w:val="0"/>
          <w:sz w:val="32"/>
          <w:szCs w:val="32"/>
        </w:rPr>
        <w:t>年</w:t>
      </w:r>
      <w:r>
        <w:rPr>
          <w:rFonts w:ascii="宋体" w:hAnsi="宋体" w:eastAsia="宋体" w:cs="宋体"/>
          <w:color w:val="102401"/>
          <w:kern w:val="0"/>
          <w:sz w:val="32"/>
          <w:szCs w:val="32"/>
        </w:rPr>
        <w:t>11</w:t>
      </w:r>
      <w:r>
        <w:rPr>
          <w:rFonts w:hint="eastAsia" w:ascii="仿宋_GB2312" w:hAnsi="宋体" w:eastAsia="仿宋_GB2312" w:cs="宋体"/>
          <w:color w:val="102401"/>
          <w:kern w:val="0"/>
          <w:sz w:val="32"/>
          <w:szCs w:val="32"/>
        </w:rPr>
        <w:t>月</w:t>
      </w:r>
      <w:r>
        <w:rPr>
          <w:rFonts w:ascii="宋体" w:hAnsi="宋体" w:eastAsia="宋体" w:cs="宋体"/>
          <w:color w:val="102401"/>
          <w:kern w:val="0"/>
          <w:sz w:val="32"/>
          <w:szCs w:val="32"/>
        </w:rPr>
        <w:t>22</w:t>
      </w:r>
      <w:r>
        <w:rPr>
          <w:rFonts w:hint="eastAsia" w:ascii="仿宋_GB2312" w:hAnsi="宋体" w:eastAsia="仿宋_GB2312" w:cs="宋体"/>
          <w:color w:val="102401"/>
          <w:kern w:val="0"/>
          <w:sz w:val="32"/>
          <w:szCs w:val="32"/>
        </w:rPr>
        <w:t>日，我局作出《行政处罚听证告知书》（穗环法告〔</w:t>
      </w:r>
      <w:r>
        <w:rPr>
          <w:rFonts w:ascii="宋体" w:hAnsi="宋体" w:eastAsia="宋体" w:cs="宋体"/>
          <w:color w:val="102401"/>
          <w:kern w:val="0"/>
          <w:sz w:val="32"/>
          <w:szCs w:val="32"/>
        </w:rPr>
        <w:t>2017</w:t>
      </w:r>
      <w:r>
        <w:rPr>
          <w:rFonts w:hint="eastAsia" w:ascii="仿宋_GB2312" w:hAnsi="宋体" w:eastAsia="仿宋_GB2312" w:cs="宋体"/>
          <w:color w:val="102401"/>
          <w:kern w:val="0"/>
          <w:sz w:val="32"/>
          <w:szCs w:val="32"/>
        </w:rPr>
        <w:t>〕</w:t>
      </w:r>
      <w:r>
        <w:rPr>
          <w:rFonts w:ascii="宋体" w:hAnsi="宋体" w:eastAsia="宋体" w:cs="宋体"/>
          <w:color w:val="102401"/>
          <w:kern w:val="0"/>
          <w:sz w:val="32"/>
          <w:szCs w:val="32"/>
        </w:rPr>
        <w:t>86</w:t>
      </w:r>
      <w:r>
        <w:rPr>
          <w:rFonts w:hint="eastAsia" w:ascii="仿宋_GB2312" w:hAnsi="宋体" w:eastAsia="仿宋_GB2312" w:cs="宋体"/>
          <w:color w:val="102401"/>
          <w:kern w:val="0"/>
          <w:sz w:val="32"/>
          <w:szCs w:val="32"/>
        </w:rPr>
        <w:t>号），并于</w:t>
      </w:r>
      <w:r>
        <w:rPr>
          <w:rFonts w:ascii="宋体" w:hAnsi="宋体" w:eastAsia="宋体" w:cs="宋体"/>
          <w:color w:val="102401"/>
          <w:kern w:val="0"/>
          <w:sz w:val="32"/>
          <w:szCs w:val="32"/>
        </w:rPr>
        <w:t>2017</w:t>
      </w:r>
      <w:r>
        <w:rPr>
          <w:rFonts w:hint="eastAsia" w:ascii="仿宋_GB2312" w:hAnsi="宋体" w:eastAsia="仿宋_GB2312" w:cs="宋体"/>
          <w:color w:val="102401"/>
          <w:kern w:val="0"/>
          <w:sz w:val="32"/>
          <w:szCs w:val="32"/>
        </w:rPr>
        <w:t>年</w:t>
      </w:r>
      <w:r>
        <w:rPr>
          <w:rFonts w:ascii="宋体" w:hAnsi="宋体" w:eastAsia="宋体" w:cs="宋体"/>
          <w:color w:val="102401"/>
          <w:kern w:val="0"/>
          <w:sz w:val="32"/>
          <w:szCs w:val="32"/>
        </w:rPr>
        <w:t>11</w:t>
      </w:r>
      <w:r>
        <w:rPr>
          <w:rFonts w:hint="eastAsia" w:ascii="仿宋_GB2312" w:hAnsi="宋体" w:eastAsia="仿宋_GB2312" w:cs="宋体"/>
          <w:color w:val="102401"/>
          <w:kern w:val="0"/>
          <w:sz w:val="32"/>
          <w:szCs w:val="32"/>
        </w:rPr>
        <w:t>月</w:t>
      </w:r>
      <w:r>
        <w:rPr>
          <w:rFonts w:ascii="宋体" w:hAnsi="宋体" w:eastAsia="宋体" w:cs="宋体"/>
          <w:color w:val="102401"/>
          <w:kern w:val="0"/>
          <w:sz w:val="32"/>
          <w:szCs w:val="32"/>
        </w:rPr>
        <w:t>25</w:t>
      </w:r>
      <w:r>
        <w:rPr>
          <w:rFonts w:hint="eastAsia" w:ascii="仿宋_GB2312" w:hAnsi="宋体" w:eastAsia="仿宋_GB2312" w:cs="宋体"/>
          <w:color w:val="102401"/>
          <w:kern w:val="0"/>
          <w:sz w:val="32"/>
          <w:szCs w:val="32"/>
        </w:rPr>
        <w:t>日送达当事人。当事人未在有效期限内提出陈述申辩意见。经审理，我局认为当事人的违法事实清楚，现本案经我局审查结束。</w:t>
      </w:r>
    </w:p>
    <w:p>
      <w:pPr>
        <w:widowControl/>
        <w:wordWrap w:val="0"/>
        <w:spacing w:before="100" w:beforeAutospacing="1" w:after="100" w:afterAutospacing="1" w:line="600" w:lineRule="atLeast"/>
        <w:ind w:firstLine="640"/>
        <w:jc w:val="left"/>
        <w:rPr>
          <w:rFonts w:ascii="宋体" w:hAnsi="宋体" w:eastAsia="宋体" w:cs="宋体"/>
          <w:color w:val="102401"/>
          <w:kern w:val="0"/>
          <w:sz w:val="24"/>
          <w:szCs w:val="24"/>
        </w:rPr>
      </w:pPr>
      <w:r>
        <w:rPr>
          <w:rFonts w:hint="eastAsia" w:ascii="仿宋_GB2312" w:hAnsi="宋体" w:eastAsia="仿宋_GB2312" w:cs="宋体"/>
          <w:color w:val="102401"/>
          <w:kern w:val="0"/>
          <w:sz w:val="32"/>
          <w:szCs w:val="32"/>
        </w:rPr>
        <w:t>我局依据《中华人民共和国环境影响评价法》第三十一条第一款、《广东省环境保护条例》第六十六条第一款和第六十九条第二款、《环境保护主管部门实施限制生产、停产整治办法》第六条第（一）项和第十五条的规定，拟责令当事人经营的广州市创利五金厂项目停产整治，停产整治的期限自责令停产整治决定书送达之日起至停产整治决定解除之日止，并作出处罚如下：</w:t>
      </w:r>
    </w:p>
    <w:p>
      <w:pPr>
        <w:widowControl/>
        <w:wordWrap w:val="0"/>
        <w:spacing w:before="100" w:beforeAutospacing="1" w:after="100" w:afterAutospacing="1" w:line="600" w:lineRule="atLeast"/>
        <w:ind w:firstLine="640"/>
        <w:jc w:val="left"/>
        <w:rPr>
          <w:rFonts w:ascii="宋体" w:hAnsi="宋体" w:eastAsia="宋体" w:cs="宋体"/>
          <w:color w:val="102401"/>
          <w:kern w:val="0"/>
          <w:sz w:val="24"/>
          <w:szCs w:val="24"/>
        </w:rPr>
      </w:pPr>
      <w:r>
        <w:rPr>
          <w:rFonts w:hint="eastAsia" w:ascii="仿宋_GB2312" w:hAnsi="宋体" w:eastAsia="仿宋_GB2312" w:cs="宋体"/>
          <w:color w:val="102401"/>
          <w:kern w:val="0"/>
          <w:sz w:val="32"/>
          <w:szCs w:val="32"/>
        </w:rPr>
        <w:t>罚款</w:t>
      </w:r>
      <w:r>
        <w:rPr>
          <w:rFonts w:ascii="宋体" w:hAnsi="宋体" w:eastAsia="宋体" w:cs="宋体"/>
          <w:color w:val="102401"/>
          <w:kern w:val="0"/>
          <w:sz w:val="32"/>
          <w:szCs w:val="32"/>
        </w:rPr>
        <w:t>20</w:t>
      </w:r>
      <w:r>
        <w:rPr>
          <w:rFonts w:hint="eastAsia" w:ascii="仿宋_GB2312" w:hAnsi="宋体" w:eastAsia="仿宋_GB2312" w:cs="宋体"/>
          <w:color w:val="102401"/>
          <w:kern w:val="0"/>
          <w:sz w:val="32"/>
          <w:szCs w:val="32"/>
        </w:rPr>
        <w:t>万元。</w:t>
      </w:r>
    </w:p>
    <w:p>
      <w:pPr>
        <w:widowControl/>
        <w:wordWrap w:val="0"/>
        <w:spacing w:before="100" w:beforeAutospacing="1" w:after="100" w:afterAutospacing="1" w:line="600" w:lineRule="atLeast"/>
        <w:ind w:firstLine="640"/>
        <w:jc w:val="left"/>
        <w:rPr>
          <w:rFonts w:ascii="宋体" w:hAnsi="宋体" w:eastAsia="宋体" w:cs="宋体"/>
          <w:color w:val="102401"/>
          <w:kern w:val="0"/>
          <w:sz w:val="24"/>
          <w:szCs w:val="24"/>
        </w:rPr>
      </w:pPr>
      <w:r>
        <w:rPr>
          <w:rFonts w:hint="eastAsia" w:ascii="仿宋_GB2312" w:hAnsi="宋体" w:eastAsia="仿宋_GB2312" w:cs="宋体"/>
          <w:color w:val="102401"/>
          <w:kern w:val="0"/>
          <w:sz w:val="32"/>
          <w:szCs w:val="32"/>
        </w:rPr>
        <w:t>限当事人在收到本处罚决定书之日起</w:t>
      </w:r>
      <w:r>
        <w:rPr>
          <w:rFonts w:ascii="宋体" w:hAnsi="宋体" w:eastAsia="宋体" w:cs="宋体"/>
          <w:color w:val="102401"/>
          <w:kern w:val="0"/>
          <w:sz w:val="32"/>
          <w:szCs w:val="32"/>
        </w:rPr>
        <w:t>15</w:t>
      </w:r>
      <w:r>
        <w:rPr>
          <w:rFonts w:hint="eastAsia" w:ascii="仿宋_GB2312" w:hAnsi="宋体" w:eastAsia="仿宋_GB2312" w:cs="宋体"/>
          <w:color w:val="102401"/>
          <w:kern w:val="0"/>
          <w:sz w:val="32"/>
          <w:szCs w:val="32"/>
        </w:rPr>
        <w:t>日内，按照《广州市非税收入缴款通知书》的要求，将上述罚款缴到非税收入代收银行（工商银行、建设银行、广州银行、广州农村商业银行、中国银行、农业银行、邮政储蓄银行、交通银行、光大银行、中信银行、广发银行、浦发银行、华夏银行），收入项目编码：</w:t>
      </w:r>
      <w:r>
        <w:rPr>
          <w:rFonts w:ascii="宋体" w:hAnsi="宋体" w:eastAsia="宋体" w:cs="宋体"/>
          <w:color w:val="102401"/>
          <w:kern w:val="0"/>
          <w:sz w:val="32"/>
          <w:szCs w:val="32"/>
        </w:rPr>
        <w:t>3124</w:t>
      </w:r>
      <w:r>
        <w:rPr>
          <w:rFonts w:hint="eastAsia" w:ascii="仿宋_GB2312" w:hAnsi="宋体" w:eastAsia="仿宋_GB2312" w:cs="宋体"/>
          <w:color w:val="102401"/>
          <w:kern w:val="0"/>
          <w:sz w:val="32"/>
          <w:szCs w:val="32"/>
        </w:rPr>
        <w:t>。</w:t>
      </w:r>
    </w:p>
    <w:p>
      <w:pPr>
        <w:widowControl/>
        <w:wordWrap w:val="0"/>
        <w:spacing w:before="100" w:beforeAutospacing="1" w:after="100" w:afterAutospacing="1" w:line="600" w:lineRule="atLeast"/>
        <w:ind w:firstLine="640"/>
        <w:jc w:val="left"/>
        <w:rPr>
          <w:rFonts w:ascii="宋体" w:hAnsi="宋体" w:eastAsia="宋体" w:cs="宋体"/>
          <w:color w:val="102401"/>
          <w:kern w:val="0"/>
          <w:sz w:val="24"/>
          <w:szCs w:val="24"/>
        </w:rPr>
      </w:pPr>
      <w:r>
        <w:rPr>
          <w:rFonts w:hint="eastAsia" w:ascii="仿宋_GB2312" w:hAnsi="宋体" w:eastAsia="仿宋_GB2312" w:cs="宋体"/>
          <w:color w:val="102401"/>
          <w:kern w:val="0"/>
          <w:sz w:val="32"/>
          <w:szCs w:val="32"/>
        </w:rPr>
        <w:t>如不服上述行政处罚决定，可在接到本处罚决定书之日起六十日内，向广州市人民政府（地址：越秀区小北路</w:t>
      </w:r>
      <w:r>
        <w:rPr>
          <w:rFonts w:ascii="宋体" w:hAnsi="宋体" w:eastAsia="宋体" w:cs="宋体"/>
          <w:color w:val="102401"/>
          <w:kern w:val="0"/>
          <w:sz w:val="32"/>
          <w:szCs w:val="32"/>
        </w:rPr>
        <w:t>183</w:t>
      </w:r>
      <w:r>
        <w:rPr>
          <w:rFonts w:hint="eastAsia" w:ascii="仿宋_GB2312" w:hAnsi="宋体" w:eastAsia="仿宋_GB2312" w:cs="宋体"/>
          <w:color w:val="102401"/>
          <w:kern w:val="0"/>
          <w:sz w:val="32"/>
          <w:szCs w:val="32"/>
        </w:rPr>
        <w:t>号金和大厦</w:t>
      </w:r>
      <w:r>
        <w:rPr>
          <w:rFonts w:ascii="宋体" w:hAnsi="宋体" w:eastAsia="宋体" w:cs="宋体"/>
          <w:color w:val="102401"/>
          <w:kern w:val="0"/>
          <w:sz w:val="32"/>
          <w:szCs w:val="32"/>
        </w:rPr>
        <w:t>2</w:t>
      </w:r>
      <w:r>
        <w:rPr>
          <w:rFonts w:hint="eastAsia" w:ascii="仿宋_GB2312" w:hAnsi="宋体" w:eastAsia="仿宋_GB2312" w:cs="宋体"/>
          <w:color w:val="102401"/>
          <w:kern w:val="0"/>
          <w:sz w:val="32"/>
          <w:szCs w:val="32"/>
        </w:rPr>
        <w:t>楼，电话：</w:t>
      </w:r>
      <w:r>
        <w:rPr>
          <w:rFonts w:ascii="宋体" w:hAnsi="宋体" w:eastAsia="宋体" w:cs="宋体"/>
          <w:color w:val="102401"/>
          <w:kern w:val="0"/>
          <w:sz w:val="32"/>
          <w:szCs w:val="32"/>
        </w:rPr>
        <w:t>83555988</w:t>
      </w:r>
      <w:r>
        <w:rPr>
          <w:rFonts w:hint="eastAsia" w:ascii="仿宋_GB2312" w:hAnsi="宋体" w:eastAsia="仿宋_GB2312" w:cs="宋体"/>
          <w:color w:val="102401"/>
          <w:kern w:val="0"/>
          <w:sz w:val="32"/>
          <w:szCs w:val="32"/>
        </w:rPr>
        <w:t>）或广东省环境保护厅（地址：天河区龙口西路</w:t>
      </w:r>
      <w:r>
        <w:rPr>
          <w:rFonts w:ascii="宋体" w:hAnsi="宋体" w:eastAsia="宋体" w:cs="宋体"/>
          <w:color w:val="102401"/>
          <w:kern w:val="0"/>
          <w:sz w:val="32"/>
          <w:szCs w:val="32"/>
        </w:rPr>
        <w:t>213</w:t>
      </w:r>
      <w:r>
        <w:rPr>
          <w:rFonts w:hint="eastAsia" w:ascii="仿宋_GB2312" w:hAnsi="宋体" w:eastAsia="仿宋_GB2312" w:cs="宋体"/>
          <w:color w:val="102401"/>
          <w:kern w:val="0"/>
          <w:sz w:val="32"/>
          <w:szCs w:val="32"/>
        </w:rPr>
        <w:t>号，电话：</w:t>
      </w:r>
      <w:r>
        <w:rPr>
          <w:rFonts w:ascii="宋体" w:hAnsi="宋体" w:eastAsia="宋体" w:cs="宋体"/>
          <w:color w:val="102401"/>
          <w:kern w:val="0"/>
          <w:sz w:val="32"/>
          <w:szCs w:val="32"/>
        </w:rPr>
        <w:t>87533928</w:t>
      </w:r>
      <w:r>
        <w:rPr>
          <w:rFonts w:hint="eastAsia" w:ascii="仿宋_GB2312" w:hAnsi="宋体" w:eastAsia="仿宋_GB2312" w:cs="宋体"/>
          <w:color w:val="102401"/>
          <w:kern w:val="0"/>
          <w:sz w:val="32"/>
          <w:szCs w:val="32"/>
        </w:rPr>
        <w:t>、</w:t>
      </w:r>
      <w:r>
        <w:rPr>
          <w:rFonts w:ascii="宋体" w:hAnsi="宋体" w:eastAsia="宋体" w:cs="宋体"/>
          <w:color w:val="102401"/>
          <w:kern w:val="0"/>
          <w:sz w:val="32"/>
          <w:szCs w:val="32"/>
        </w:rPr>
        <w:t>87531656</w:t>
      </w:r>
      <w:r>
        <w:rPr>
          <w:rFonts w:hint="eastAsia" w:ascii="仿宋_GB2312" w:hAnsi="宋体" w:eastAsia="仿宋_GB2312" w:cs="宋体"/>
          <w:color w:val="102401"/>
          <w:kern w:val="0"/>
          <w:sz w:val="32"/>
          <w:szCs w:val="32"/>
        </w:rPr>
        <w:t>）提出行政复议申请，或在六个月内直接向有管辖权的人民法院提起行政诉讼。</w:t>
      </w:r>
    </w:p>
    <w:p>
      <w:pPr>
        <w:widowControl/>
        <w:wordWrap w:val="0"/>
        <w:spacing w:before="100" w:beforeAutospacing="1" w:after="100" w:afterAutospacing="1" w:line="600" w:lineRule="atLeast"/>
        <w:ind w:firstLine="640"/>
        <w:jc w:val="left"/>
        <w:rPr>
          <w:rFonts w:ascii="宋体" w:hAnsi="宋体" w:eastAsia="宋体" w:cs="宋体"/>
          <w:color w:val="102401"/>
          <w:kern w:val="0"/>
          <w:sz w:val="24"/>
          <w:szCs w:val="24"/>
        </w:rPr>
      </w:pPr>
      <w:r>
        <w:rPr>
          <w:rFonts w:hint="eastAsia" w:ascii="仿宋_GB2312" w:hAnsi="宋体" w:eastAsia="仿宋_GB2312" w:cs="宋体"/>
          <w:color w:val="102401"/>
          <w:kern w:val="0"/>
          <w:sz w:val="32"/>
          <w:szCs w:val="32"/>
        </w:rPr>
        <w:t>行政复议、行政诉讼期间内，不得停止本决定的履行。逾期不履行本处罚决定，我局将申请人民法院强制执行，并按罚款额每日加处百分之三罚款。</w:t>
      </w:r>
      <w:r>
        <w:rPr>
          <w:rFonts w:ascii="宋体" w:hAnsi="宋体" w:eastAsia="宋体" w:cs="宋体"/>
          <w:color w:val="102401"/>
          <w:kern w:val="0"/>
          <w:sz w:val="32"/>
          <w:szCs w:val="32"/>
        </w:rPr>
        <w:t xml:space="preserve"> </w:t>
      </w:r>
    </w:p>
    <w:p>
      <w:pPr>
        <w:widowControl/>
        <w:wordWrap w:val="0"/>
        <w:spacing w:before="100" w:beforeAutospacing="1" w:after="100" w:afterAutospacing="1" w:line="600" w:lineRule="atLeast"/>
        <w:ind w:firstLine="640"/>
        <w:jc w:val="left"/>
        <w:rPr>
          <w:rFonts w:ascii="宋体" w:hAnsi="宋体" w:eastAsia="宋体" w:cs="宋体"/>
          <w:color w:val="102401"/>
          <w:kern w:val="0"/>
          <w:sz w:val="24"/>
          <w:szCs w:val="24"/>
        </w:rPr>
      </w:pPr>
      <w:r>
        <w:rPr>
          <w:rFonts w:ascii="宋体" w:hAnsi="宋体" w:eastAsia="宋体" w:cs="宋体"/>
          <w:color w:val="102401"/>
          <w:kern w:val="0"/>
          <w:sz w:val="32"/>
          <w:szCs w:val="32"/>
        </w:rPr>
        <w:t>  </w:t>
      </w:r>
    </w:p>
    <w:p>
      <w:pPr>
        <w:widowControl/>
        <w:wordWrap w:val="0"/>
        <w:snapToGrid w:val="0"/>
        <w:spacing w:before="100" w:beforeAutospacing="1" w:after="100" w:afterAutospacing="1" w:line="600" w:lineRule="atLeast"/>
        <w:ind w:right="968"/>
        <w:jc w:val="right"/>
        <w:rPr>
          <w:rFonts w:ascii="宋体" w:hAnsi="宋体" w:eastAsia="宋体" w:cs="宋体"/>
          <w:color w:val="102401"/>
          <w:kern w:val="0"/>
          <w:sz w:val="24"/>
          <w:szCs w:val="24"/>
        </w:rPr>
      </w:pPr>
      <w:r>
        <w:rPr>
          <w:rFonts w:hint="eastAsia" w:ascii="仿宋_GB2312" w:hAnsi="宋体" w:eastAsia="仿宋_GB2312" w:cs="宋体"/>
          <w:color w:val="102401"/>
          <w:kern w:val="0"/>
          <w:sz w:val="32"/>
          <w:szCs w:val="32"/>
        </w:rPr>
        <w:t>广州市环境保护局</w:t>
      </w:r>
    </w:p>
    <w:p>
      <w:pPr>
        <w:widowControl/>
        <w:wordWrap w:val="0"/>
        <w:snapToGrid w:val="0"/>
        <w:spacing w:before="100" w:beforeAutospacing="1" w:after="100" w:afterAutospacing="1" w:line="600" w:lineRule="atLeast"/>
        <w:ind w:right="968"/>
        <w:jc w:val="right"/>
        <w:rPr>
          <w:rFonts w:ascii="宋体" w:hAnsi="宋体" w:eastAsia="宋体" w:cs="宋体"/>
          <w:color w:val="102401"/>
          <w:kern w:val="0"/>
          <w:sz w:val="24"/>
          <w:szCs w:val="24"/>
        </w:rPr>
      </w:pPr>
      <w:r>
        <w:rPr>
          <w:rFonts w:ascii="宋体" w:hAnsi="宋体" w:eastAsia="宋体" w:cs="宋体"/>
          <w:color w:val="102401"/>
          <w:kern w:val="0"/>
          <w:sz w:val="32"/>
          <w:szCs w:val="32"/>
        </w:rPr>
        <w:t>2017</w:t>
      </w:r>
      <w:r>
        <w:rPr>
          <w:rFonts w:hint="eastAsia" w:ascii="仿宋_GB2312" w:hAnsi="宋体" w:eastAsia="仿宋_GB2312" w:cs="宋体"/>
          <w:color w:val="102401"/>
          <w:kern w:val="0"/>
          <w:sz w:val="32"/>
          <w:szCs w:val="32"/>
        </w:rPr>
        <w:t>年</w:t>
      </w:r>
      <w:r>
        <w:rPr>
          <w:rFonts w:ascii="宋体" w:hAnsi="宋体" w:eastAsia="宋体" w:cs="宋体"/>
          <w:color w:val="102401"/>
          <w:kern w:val="0"/>
          <w:sz w:val="32"/>
          <w:szCs w:val="32"/>
        </w:rPr>
        <w:t>12</w:t>
      </w:r>
      <w:r>
        <w:rPr>
          <w:rFonts w:hint="eastAsia" w:ascii="仿宋_GB2312" w:hAnsi="宋体" w:eastAsia="仿宋_GB2312" w:cs="宋体"/>
          <w:color w:val="102401"/>
          <w:kern w:val="0"/>
          <w:sz w:val="32"/>
          <w:szCs w:val="32"/>
        </w:rPr>
        <w:t>月</w:t>
      </w:r>
      <w:r>
        <w:rPr>
          <w:rFonts w:ascii="宋体" w:hAnsi="宋体" w:eastAsia="宋体" w:cs="宋体"/>
          <w:color w:val="102401"/>
          <w:kern w:val="0"/>
          <w:sz w:val="32"/>
          <w:szCs w:val="32"/>
        </w:rPr>
        <w:t>22</w:t>
      </w:r>
      <w:r>
        <w:rPr>
          <w:rFonts w:hint="eastAsia" w:ascii="仿宋_GB2312" w:hAnsi="宋体" w:eastAsia="仿宋_GB2312" w:cs="宋体"/>
          <w:color w:val="102401"/>
          <w:kern w:val="0"/>
          <w:sz w:val="32"/>
          <w:szCs w:val="32"/>
        </w:rPr>
        <w:t>日</w:t>
      </w:r>
    </w:p>
    <w:p>
      <w:pPr>
        <w:widowControl/>
        <w:wordWrap w:val="0"/>
        <w:snapToGrid w:val="0"/>
        <w:spacing w:before="100" w:beforeAutospacing="1" w:after="100" w:afterAutospacing="1" w:line="600" w:lineRule="atLeast"/>
        <w:ind w:right="968"/>
        <w:jc w:val="right"/>
        <w:rPr>
          <w:rFonts w:ascii="宋体" w:hAnsi="宋体" w:eastAsia="宋体" w:cs="宋体"/>
          <w:color w:val="102401"/>
          <w:kern w:val="0"/>
          <w:sz w:val="24"/>
          <w:szCs w:val="24"/>
        </w:rPr>
      </w:pPr>
      <w:r>
        <w:rPr>
          <w:rFonts w:ascii="宋体" w:hAnsi="宋体" w:eastAsia="宋体" w:cs="宋体"/>
          <w:color w:val="102401"/>
          <w:kern w:val="0"/>
          <w:sz w:val="32"/>
          <w:szCs w:val="32"/>
        </w:rPr>
        <w:t>   </w:t>
      </w:r>
    </w:p>
    <w:p>
      <w:pPr>
        <w:widowControl/>
        <w:wordWrap w:val="0"/>
        <w:spacing w:before="100" w:beforeAutospacing="1" w:after="100" w:afterAutospacing="1" w:line="432" w:lineRule="auto"/>
        <w:jc w:val="left"/>
        <w:rPr>
          <w:rFonts w:ascii="宋体" w:hAnsi="宋体" w:eastAsia="宋体" w:cs="宋体"/>
          <w:color w:val="102401"/>
          <w:kern w:val="0"/>
          <w:sz w:val="24"/>
          <w:szCs w:val="24"/>
        </w:rPr>
      </w:pPr>
      <w:r>
        <w:rPr>
          <w:rFonts w:hint="eastAsia" w:ascii="仿宋_GB2312" w:hAnsi="宋体" w:eastAsia="仿宋_GB2312" w:cs="宋体"/>
          <w:color w:val="102401"/>
          <w:kern w:val="0"/>
          <w:sz w:val="32"/>
          <w:szCs w:val="32"/>
        </w:rPr>
        <w:t>  抄送：局环评处、局污防处、执法监察支队，白云区环保局。</w:t>
      </w:r>
    </w:p>
    <w:p>
      <w:pPr>
        <w:widowControl/>
        <w:wordWrap w:val="0"/>
        <w:jc w:val="center"/>
        <w:rPr>
          <w:rFonts w:ascii="宋体" w:hAnsi="宋体" w:eastAsia="宋体" w:cs="宋体"/>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U0ODljOGM5ZmQ5ZmEyZDBkMDViNzAzNjQ4YjZkZTgifQ=="/>
  </w:docVars>
  <w:rsids>
    <w:rsidRoot w:val="00E141A2"/>
    <w:rsid w:val="00061BB1"/>
    <w:rsid w:val="002A0140"/>
    <w:rsid w:val="003178C7"/>
    <w:rsid w:val="0083507D"/>
    <w:rsid w:val="00B06FFF"/>
    <w:rsid w:val="00BC7EB6"/>
    <w:rsid w:val="00E141A2"/>
    <w:rsid w:val="00F77D82"/>
    <w:rsid w:val="00FF01BB"/>
    <w:rsid w:val="45437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semiHidden/>
    <w:unhideWhenUsed/>
    <w:uiPriority w:val="99"/>
    <w:pPr>
      <w:widowControl/>
      <w:jc w:val="left"/>
    </w:pPr>
    <w:rPr>
      <w:rFonts w:ascii="宋体" w:hAnsi="宋体" w:eastAsia="宋体" w:cs="宋体"/>
      <w:kern w:val="0"/>
      <w:sz w:val="24"/>
      <w:szCs w:val="24"/>
    </w:rPr>
  </w:style>
  <w:style w:type="paragraph" w:styleId="3">
    <w:name w:val="footer"/>
    <w:basedOn w:val="1"/>
    <w:link w:val="11"/>
    <w:semiHidden/>
    <w:unhideWhenUsed/>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jc w:val="left"/>
    </w:pPr>
    <w:rPr>
      <w:rFonts w:ascii="宋体" w:hAnsi="宋体" w:eastAsia="宋体" w:cs="宋体"/>
      <w:kern w:val="0"/>
      <w:sz w:val="24"/>
      <w:szCs w:val="24"/>
    </w:rPr>
  </w:style>
  <w:style w:type="character" w:styleId="8">
    <w:name w:val="Strong"/>
    <w:basedOn w:val="7"/>
    <w:autoRedefine/>
    <w:qFormat/>
    <w:uiPriority w:val="22"/>
    <w:rPr>
      <w:b/>
      <w:bCs/>
    </w:rPr>
  </w:style>
  <w:style w:type="character" w:customStyle="1" w:styleId="9">
    <w:name w:val="正文文本 Char"/>
    <w:basedOn w:val="7"/>
    <w:link w:val="2"/>
    <w:autoRedefine/>
    <w:semiHidden/>
    <w:qFormat/>
    <w:uiPriority w:val="99"/>
    <w:rPr>
      <w:rFonts w:ascii="宋体" w:hAnsi="宋体" w:eastAsia="宋体" w:cs="宋体"/>
      <w:kern w:val="0"/>
      <w:sz w:val="24"/>
      <w:szCs w:val="24"/>
    </w:rPr>
  </w:style>
  <w:style w:type="character" w:customStyle="1" w:styleId="10">
    <w:name w:val="页眉 Char"/>
    <w:basedOn w:val="7"/>
    <w:link w:val="4"/>
    <w:semiHidden/>
    <w:uiPriority w:val="99"/>
    <w:rPr>
      <w:sz w:val="18"/>
      <w:szCs w:val="18"/>
    </w:rPr>
  </w:style>
  <w:style w:type="character" w:customStyle="1" w:styleId="11">
    <w:name w:val="页脚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4</Pages>
  <Words>268</Words>
  <Characters>1533</Characters>
  <Lines>12</Lines>
  <Paragraphs>3</Paragraphs>
  <TotalTime>4</TotalTime>
  <ScaleCrop>false</ScaleCrop>
  <LinksUpToDate>false</LinksUpToDate>
  <CharactersWithSpaces>1798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2019-01-29T07:28:00Z</dcterms:created>
  <dc:creator>ⶠF</dc:creator>
  <cp:lastModifiedBy>霍泽铭</cp:lastModifiedBy>
  <dcterms:modified xsi:type="dcterms:W3CDTF">2024-01-22T09:06:44Z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1748431F08024BEA96E970FFF092BD4C_13</vt:lpwstr>
  </property>
</Properties>
</file>