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宋体" w:hAnsi="宋体" w:eastAsia="宋体" w:cs="宋体"/>
          <w:b/>
          <w:kern w:val="0"/>
          <w:sz w:val="32"/>
          <w:szCs w:val="32"/>
        </w:rPr>
      </w:pPr>
      <w:r>
        <w:rPr>
          <w:rFonts w:hint="eastAsia" w:ascii="宋体" w:hAnsi="宋体" w:eastAsia="宋体" w:cs="宋体"/>
          <w:b/>
          <w:kern w:val="0"/>
          <w:sz w:val="32"/>
          <w:szCs w:val="32"/>
        </w:rPr>
        <w:t>穗环法罚〔2017〕95号</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6"/>
        <w:tblW w:w="0" w:type="auto"/>
        <w:jc w:val="center"/>
        <w:tblLayout w:type="autofit"/>
        <w:tblCellMar>
          <w:top w:w="0" w:type="dxa"/>
          <w:left w:w="0" w:type="dxa"/>
          <w:bottom w:w="0" w:type="dxa"/>
          <w:right w:w="0" w:type="dxa"/>
        </w:tblCellMar>
      </w:tblPr>
      <w:tblGrid>
        <w:gridCol w:w="1897"/>
        <w:gridCol w:w="1611"/>
        <w:gridCol w:w="1432"/>
        <w:gridCol w:w="1075"/>
        <w:gridCol w:w="1075"/>
        <w:gridCol w:w="1432"/>
      </w:tblGrid>
      <w:tr>
        <w:tblPrEx>
          <w:tblCellMar>
            <w:top w:w="0" w:type="dxa"/>
            <w:left w:w="0" w:type="dxa"/>
            <w:bottom w:w="0" w:type="dxa"/>
            <w:right w:w="0" w:type="dxa"/>
          </w:tblCellMar>
        </w:tblPrEx>
        <w:trPr>
          <w:trHeight w:val="285" w:hRule="atLeast"/>
          <w:jc w:val="center"/>
        </w:trPr>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行政处罚决定文书号:</w:t>
            </w:r>
          </w:p>
        </w:tc>
        <w:tc>
          <w:tcPr>
            <w:tcW w:w="666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穗环法罚〔2017〕95号</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处罚名称:</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ascii="宋体" w:hAnsi="宋体" w:eastAsia="宋体" w:cs="宋体"/>
                <w:color w:val="102401"/>
                <w:kern w:val="0"/>
                <w:sz w:val="24"/>
                <w:szCs w:val="24"/>
              </w:rPr>
              <w:t>袁刚行政处罚案</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处罚类别:</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警告</w:t>
            </w:r>
          </w:p>
        </w:tc>
      </w:tr>
      <w:tr>
        <w:tblPrEx>
          <w:tblCellMar>
            <w:top w:w="0" w:type="dxa"/>
            <w:left w:w="0" w:type="dxa"/>
            <w:bottom w:w="0" w:type="dxa"/>
            <w:right w:w="0" w:type="dxa"/>
          </w:tblCellMar>
        </w:tblPrEx>
        <w:trPr>
          <w:trHeight w:val="276"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处罚事由:</w:t>
            </w:r>
          </w:p>
        </w:tc>
        <w:tc>
          <w:tcPr>
            <w:tcW w:w="6660" w:type="dxa"/>
            <w:gridSpan w:val="5"/>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经我局执法监察支队2017年10月31日调查发现，当事人自2016年8月在我市白云区蛟腾街一巷15号9楼建成并投产的广州市创利五金厂（尚未办理工商登记手续）项目，投资总额约3万元；该项目主营手表表面加工，设有电镀、喷涂、丝印、五金等4个车间，尚未办理环境影响评价审批手续和排污许可证；项目产生的电镀工艺产生的除油和清洗等废水自行收集存储，并未经处理直接排入下水道；2017年10月31日，该项目在正常生产情况下，经广州市环境监测中心站对除油废水储存器内的废水采样监测，其中总镍浓度为1.76毫克/升、总铬1.40毫克/升。</w:t>
            </w:r>
          </w:p>
        </w:tc>
      </w:tr>
      <w:tr>
        <w:tblPrEx>
          <w:tblCellMar>
            <w:top w:w="0" w:type="dxa"/>
            <w:left w:w="0" w:type="dxa"/>
            <w:bottom w:w="0" w:type="dxa"/>
            <w:right w:w="0" w:type="dxa"/>
          </w:tblCellMar>
        </w:tblPrEx>
        <w:trPr>
          <w:trHeight w:val="347"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处罚依据:</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ascii="宋体" w:hAnsi="宋体" w:eastAsia="宋体" w:cs="宋体"/>
                <w:color w:val="102401"/>
                <w:kern w:val="0"/>
                <w:sz w:val="24"/>
                <w:szCs w:val="24"/>
              </w:rPr>
              <w:t> 依据《中华人民共和国环境影响评价法》第三十一条第一款、《广东省环境保护条例》第六十六条第一款和第六十九条第二款、《环境保护主管部门实施限制生产、停产整治办法》第六条第（一）项和第十五条</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处罚结果:</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责令停产整治决定书送达之日起至停产整治决定解除之日止，并处罚款20万元。</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行政相对人名称:</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袁刚</w:t>
            </w:r>
          </w:p>
        </w:tc>
      </w:tr>
      <w:tr>
        <w:tblPrEx>
          <w:tblCellMar>
            <w:top w:w="0" w:type="dxa"/>
            <w:left w:w="0" w:type="dxa"/>
            <w:bottom w:w="0" w:type="dxa"/>
            <w:right w:w="0" w:type="dxa"/>
          </w:tblCellMar>
        </w:tblPrEx>
        <w:trPr>
          <w:trHeight w:val="547" w:hRule="atLeast"/>
          <w:jc w:val="center"/>
        </w:trPr>
        <w:tc>
          <w:tcPr>
            <w:tcW w:w="1908"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行政相对人代码:</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统一社会信用代码</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组织机构代码</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工商登记码</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税务登记号</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居民身份证号码</w:t>
            </w:r>
          </w:p>
        </w:tc>
      </w:tr>
      <w:tr>
        <w:tblPrEx>
          <w:tblCellMar>
            <w:top w:w="0" w:type="dxa"/>
            <w:left w:w="0" w:type="dxa"/>
            <w:bottom w:w="0" w:type="dxa"/>
            <w:right w:w="0" w:type="dxa"/>
          </w:tblCellMar>
        </w:tblPrEx>
        <w:trPr>
          <w:trHeight w:val="371"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102401"/>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center"/>
              <w:rPr>
                <w:rFonts w:ascii="宋体" w:hAnsi="宋体" w:eastAsia="宋体" w:cs="宋体"/>
                <w:color w:val="102401"/>
                <w:kern w:val="0"/>
                <w:sz w:val="18"/>
                <w:szCs w:val="18"/>
              </w:rPr>
            </w:pPr>
            <w:r>
              <w:rPr>
                <w:rFonts w:ascii="宋体" w:hAnsi="宋体" w:eastAsia="宋体" w:cs="宋体"/>
                <w:color w:val="102401"/>
                <w:kern w:val="0"/>
                <w:sz w:val="24"/>
                <w:szCs w:val="24"/>
              </w:rPr>
              <w:t>无</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line="270" w:lineRule="atLeast"/>
              <w:jc w:val="left"/>
              <w:rPr>
                <w:rFonts w:ascii="宋体" w:hAnsi="宋体" w:eastAsia="宋体" w:cs="宋体"/>
                <w:color w:val="102401"/>
                <w:kern w:val="0"/>
                <w:sz w:val="18"/>
                <w:szCs w:val="18"/>
              </w:rPr>
            </w:pPr>
            <w:r>
              <w:rPr>
                <w:rFonts w:ascii="宋体" w:hAnsi="宋体" w:eastAsia="宋体" w:cs="宋体"/>
                <w:color w:val="10240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　</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法人代表姓名:</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无</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处罚决定日期:</w:t>
            </w:r>
          </w:p>
        </w:tc>
        <w:tc>
          <w:tcPr>
            <w:tcW w:w="6660" w:type="dxa"/>
            <w:gridSpan w:val="5"/>
            <w:tcBorders>
              <w:top w:val="nil"/>
              <w:left w:val="nil"/>
              <w:bottom w:val="single" w:color="auto" w:sz="8" w:space="0"/>
              <w:right w:val="single" w:color="000000"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2017/12/22</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处罚机关:</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广州市环境保护局</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地方编码:</w:t>
            </w:r>
          </w:p>
        </w:tc>
        <w:tc>
          <w:tcPr>
            <w:tcW w:w="6660" w:type="dxa"/>
            <w:gridSpan w:val="5"/>
            <w:tcBorders>
              <w:top w:val="nil"/>
              <w:left w:val="nil"/>
              <w:bottom w:val="single" w:color="auto" w:sz="8" w:space="0"/>
              <w:right w:val="single" w:color="000000"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400100</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当前状态:</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正常</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数据更新时间戳:</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2017/12/22</w:t>
            </w:r>
          </w:p>
        </w:tc>
      </w:tr>
      <w:tr>
        <w:tblPrEx>
          <w:tblCellMar>
            <w:top w:w="0" w:type="dxa"/>
            <w:left w:w="0" w:type="dxa"/>
            <w:bottom w:w="0" w:type="dxa"/>
            <w:right w:w="0" w:type="dxa"/>
          </w:tblCellMar>
        </w:tblPrEx>
        <w:trPr>
          <w:trHeight w:val="285" w:hRule="atLeast"/>
          <w:jc w:val="center"/>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right"/>
              <w:rPr>
                <w:rFonts w:ascii="宋体" w:hAnsi="宋体" w:eastAsia="宋体" w:cs="宋体"/>
                <w:color w:val="102401"/>
                <w:kern w:val="0"/>
                <w:sz w:val="24"/>
                <w:szCs w:val="24"/>
              </w:rPr>
            </w:pPr>
            <w:r>
              <w:rPr>
                <w:rFonts w:hint="eastAsia" w:ascii="宋体" w:hAnsi="宋体" w:eastAsia="宋体" w:cs="宋体"/>
                <w:b/>
                <w:bCs/>
                <w:color w:val="102401"/>
                <w:kern w:val="0"/>
                <w:sz w:val="24"/>
                <w:szCs w:val="24"/>
              </w:rPr>
              <w:t>备注:</w:t>
            </w:r>
          </w:p>
        </w:tc>
        <w:tc>
          <w:tcPr>
            <w:tcW w:w="6660" w:type="dxa"/>
            <w:gridSpan w:val="5"/>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270" w:lineRule="atLeast"/>
              <w:jc w:val="left"/>
              <w:rPr>
                <w:rFonts w:ascii="宋体" w:hAnsi="宋体" w:eastAsia="宋体" w:cs="宋体"/>
                <w:color w:val="102401"/>
                <w:kern w:val="0"/>
                <w:sz w:val="24"/>
                <w:szCs w:val="24"/>
              </w:rPr>
            </w:pPr>
            <w:r>
              <w:rPr>
                <w:rFonts w:hint="eastAsia" w:ascii="宋体" w:hAnsi="宋体" w:eastAsia="宋体" w:cs="宋体"/>
                <w:color w:val="102401"/>
                <w:kern w:val="0"/>
                <w:sz w:val="24"/>
                <w:szCs w:val="24"/>
              </w:rPr>
              <w:t> </w:t>
            </w:r>
          </w:p>
        </w:tc>
      </w:tr>
    </w:tbl>
    <w:p>
      <w:pPr>
        <w:widowControl/>
        <w:wordWrap w:val="0"/>
        <w:spacing w:line="432" w:lineRule="auto"/>
        <w:jc w:val="center"/>
        <w:rPr>
          <w:rFonts w:ascii="宋体" w:hAnsi="宋体" w:eastAsia="宋体" w:cs="宋体"/>
          <w:color w:val="102401"/>
          <w:kern w:val="0"/>
          <w:sz w:val="24"/>
          <w:szCs w:val="24"/>
        </w:rPr>
      </w:pPr>
      <w:r>
        <w:rPr>
          <w:rFonts w:ascii="宋体" w:hAnsi="宋体" w:eastAsia="宋体" w:cs="宋体"/>
          <w:color w:val="102401"/>
          <w:kern w:val="0"/>
          <w:sz w:val="24"/>
          <w:szCs w:val="24"/>
        </w:rPr>
        <w:t> </w:t>
      </w:r>
    </w:p>
    <w:p>
      <w:pPr>
        <w:widowControl/>
        <w:wordWrap w:val="0"/>
        <w:spacing w:line="432" w:lineRule="auto"/>
        <w:jc w:val="center"/>
        <w:rPr>
          <w:rFonts w:ascii="宋体" w:hAnsi="宋体" w:eastAsia="宋体" w:cs="宋体"/>
          <w:color w:val="102401"/>
          <w:kern w:val="0"/>
          <w:sz w:val="24"/>
          <w:szCs w:val="24"/>
        </w:rPr>
      </w:pPr>
      <w:r>
        <w:rPr>
          <w:rFonts w:ascii="宋体" w:hAnsi="宋体" w:eastAsia="宋体" w:cs="宋体"/>
          <w:color w:val="102401"/>
          <w:kern w:val="0"/>
          <w:sz w:val="24"/>
          <w:szCs w:val="24"/>
        </w:rPr>
        <w:t> </w:t>
      </w:r>
    </w:p>
    <w:p>
      <w:pPr>
        <w:widowControl/>
        <w:wordWrap w:val="0"/>
        <w:spacing w:before="100" w:beforeAutospacing="1" w:after="100" w:afterAutospacing="1" w:line="360" w:lineRule="auto"/>
        <w:jc w:val="left"/>
        <w:rPr>
          <w:rFonts w:ascii="宋体" w:hAnsi="宋体" w:eastAsia="宋体" w:cs="宋体"/>
          <w:color w:val="102401"/>
          <w:kern w:val="0"/>
          <w:sz w:val="24"/>
          <w:szCs w:val="24"/>
        </w:rPr>
      </w:pPr>
      <w:r>
        <w:rPr>
          <w:rFonts w:ascii="宋体" w:hAnsi="宋体" w:eastAsia="宋体" w:cs="宋体"/>
          <w:b/>
          <w:bCs/>
          <w:color w:val="102401"/>
          <w:kern w:val="0"/>
          <w:sz w:val="30"/>
        </w:rPr>
        <w:t>全文信息</w:t>
      </w:r>
    </w:p>
    <w:p>
      <w:pPr>
        <w:widowControl/>
        <w:wordWrap w:val="0"/>
        <w:spacing w:line="360" w:lineRule="auto"/>
        <w:jc w:val="left"/>
        <w:rPr>
          <w:rFonts w:ascii="宋体" w:hAnsi="宋体" w:eastAsia="宋体" w:cs="宋体"/>
          <w:color w:val="102401"/>
          <w:kern w:val="0"/>
          <w:sz w:val="24"/>
          <w:szCs w:val="24"/>
        </w:rPr>
      </w:pPr>
      <w:r>
        <w:rPr>
          <w:rFonts w:ascii="宋体" w:hAnsi="宋体" w:eastAsia="宋体" w:cs="宋体"/>
          <w:color w:val="102401"/>
          <w:kern w:val="0"/>
          <w:sz w:val="24"/>
          <w:szCs w:val="24"/>
        </w:rPr>
        <w:t> </w:t>
      </w:r>
    </w:p>
    <w:p>
      <w:pPr>
        <w:widowControl/>
        <w:wordWrap w:val="0"/>
        <w:spacing w:line="360" w:lineRule="auto"/>
        <w:jc w:val="left"/>
        <w:rPr>
          <w:rFonts w:ascii="宋体" w:hAnsi="宋体" w:eastAsia="宋体" w:cs="宋体"/>
          <w:color w:val="102401"/>
          <w:kern w:val="0"/>
          <w:sz w:val="24"/>
          <w:szCs w:val="24"/>
        </w:rPr>
      </w:pPr>
      <w:r>
        <w:rPr>
          <w:rFonts w:ascii="宋体" w:hAnsi="宋体" w:eastAsia="宋体" w:cs="宋体"/>
          <w:color w:val="102401"/>
          <w:kern w:val="0"/>
          <w:sz w:val="24"/>
          <w:szCs w:val="24"/>
        </w:rPr>
        <w:t> </w:t>
      </w:r>
    </w:p>
    <w:p>
      <w:pPr>
        <w:widowControl/>
        <w:spacing w:before="100" w:beforeAutospacing="1" w:after="100" w:afterAutospacing="1" w:line="360" w:lineRule="auto"/>
        <w:jc w:val="center"/>
        <w:rPr>
          <w:rFonts w:ascii="宋体" w:hAnsi="宋体" w:eastAsia="宋体" w:cs="宋体"/>
          <w:color w:val="102401"/>
          <w:kern w:val="0"/>
          <w:sz w:val="24"/>
          <w:szCs w:val="24"/>
        </w:rPr>
      </w:pPr>
      <w:r>
        <w:rPr>
          <w:rFonts w:ascii="宋体" w:hAnsi="宋体" w:eastAsia="宋体" w:cs="宋体"/>
          <w:b/>
          <w:bCs/>
          <w:color w:val="102401"/>
          <w:kern w:val="0"/>
          <w:sz w:val="48"/>
        </w:rPr>
        <w:t>行政处罚决定书</w:t>
      </w:r>
    </w:p>
    <w:p>
      <w:pPr>
        <w:widowControl/>
        <w:spacing w:before="100" w:beforeAutospacing="1" w:after="100" w:afterAutospacing="1" w:line="360" w:lineRule="auto"/>
        <w:jc w:val="center"/>
        <w:rPr>
          <w:rFonts w:ascii="宋体" w:hAnsi="宋体" w:eastAsia="宋体" w:cs="宋体"/>
          <w:color w:val="102401"/>
          <w:kern w:val="0"/>
          <w:sz w:val="24"/>
          <w:szCs w:val="24"/>
        </w:rPr>
      </w:pPr>
      <w:r>
        <w:rPr>
          <w:rFonts w:ascii="宋体" w:hAnsi="宋体" w:eastAsia="宋体" w:cs="宋体"/>
          <w:color w:val="102401"/>
          <w:kern w:val="0"/>
          <w:sz w:val="30"/>
          <w:szCs w:val="30"/>
        </w:rPr>
        <w:t>穗环法罚〔2017〕95号</w:t>
      </w:r>
    </w:p>
    <w:p>
      <w:pPr>
        <w:widowControl/>
        <w:wordWrap w:val="0"/>
        <w:spacing w:before="100" w:beforeAutospacing="1" w:after="100" w:afterAutospacing="1" w:line="360" w:lineRule="auto"/>
        <w:jc w:val="left"/>
        <w:rPr>
          <w:rFonts w:ascii="宋体" w:hAnsi="宋体" w:eastAsia="宋体" w:cs="宋体"/>
          <w:color w:val="102401"/>
          <w:kern w:val="0"/>
          <w:sz w:val="24"/>
          <w:szCs w:val="24"/>
        </w:rPr>
      </w:pPr>
      <w:r>
        <w:rPr>
          <w:rFonts w:ascii="宋体" w:hAnsi="宋体" w:eastAsia="宋体" w:cs="宋体"/>
          <w:color w:val="102401"/>
          <w:kern w:val="0"/>
          <w:sz w:val="24"/>
          <w:szCs w:val="24"/>
        </w:rPr>
        <w:t> </w:t>
      </w:r>
    </w:p>
    <w:p>
      <w:pPr>
        <w:widowControl/>
        <w:wordWrap w:val="0"/>
        <w:spacing w:before="100" w:beforeAutospacing="1" w:after="100" w:afterAutospacing="1" w:line="600" w:lineRule="atLeast"/>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当事人：袁刚</w:t>
      </w:r>
    </w:p>
    <w:p>
      <w:pPr>
        <w:widowControl/>
        <w:wordWrap w:val="0"/>
        <w:spacing w:before="100" w:beforeAutospacing="1" w:after="100" w:afterAutospacing="1" w:line="500" w:lineRule="atLeast"/>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身份证号：</w:t>
      </w:r>
      <w:bookmarkStart w:id="0" w:name="_GoBack"/>
      <w:bookmarkEnd w:id="0"/>
      <w:r>
        <w:rPr>
          <w:rFonts w:ascii="宋体" w:hAnsi="宋体" w:eastAsia="宋体" w:cs="宋体"/>
          <w:color w:val="102401"/>
          <w:kern w:val="0"/>
          <w:sz w:val="32"/>
          <w:szCs w:val="32"/>
        </w:rPr>
        <w:t>513029</w:t>
      </w:r>
      <w:r>
        <w:rPr>
          <w:rFonts w:hint="eastAsia" w:ascii="宋体" w:hAnsi="宋体" w:eastAsia="宋体" w:cs="宋体"/>
          <w:color w:val="102401"/>
          <w:kern w:val="0"/>
          <w:sz w:val="32"/>
          <w:szCs w:val="32"/>
          <w:lang w:val="en-US" w:eastAsia="zh-CN"/>
        </w:rPr>
        <w:t>***********</w:t>
      </w:r>
      <w:r>
        <w:rPr>
          <w:rFonts w:ascii="宋体" w:hAnsi="宋体" w:eastAsia="宋体" w:cs="宋体"/>
          <w:color w:val="102401"/>
          <w:kern w:val="0"/>
          <w:sz w:val="32"/>
          <w:szCs w:val="32"/>
        </w:rPr>
        <w:t xml:space="preserve">2 </w:t>
      </w:r>
    </w:p>
    <w:p>
      <w:pPr>
        <w:widowControl/>
        <w:wordWrap w:val="0"/>
        <w:spacing w:before="100" w:beforeAutospacing="1" w:after="100" w:afterAutospacing="1" w:line="500" w:lineRule="atLeast"/>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地</w:t>
      </w:r>
      <w:r>
        <w:rPr>
          <w:rFonts w:ascii="宋体" w:hAnsi="宋体" w:eastAsia="宋体" w:cs="宋体"/>
          <w:color w:val="102401"/>
          <w:kern w:val="0"/>
          <w:sz w:val="32"/>
          <w:szCs w:val="32"/>
        </w:rPr>
        <w:t xml:space="preserve">  </w:t>
      </w:r>
      <w:r>
        <w:rPr>
          <w:rFonts w:hint="eastAsia" w:ascii="仿宋_GB2312" w:hAnsi="宋体" w:eastAsia="仿宋_GB2312" w:cs="宋体"/>
          <w:color w:val="102401"/>
          <w:kern w:val="0"/>
          <w:sz w:val="32"/>
          <w:szCs w:val="32"/>
        </w:rPr>
        <w:t>址：广州市白云区蛟腾街一巷</w:t>
      </w:r>
      <w:r>
        <w:rPr>
          <w:rFonts w:ascii="宋体" w:hAnsi="宋体" w:eastAsia="宋体" w:cs="宋体"/>
          <w:color w:val="102401"/>
          <w:kern w:val="0"/>
          <w:sz w:val="32"/>
          <w:szCs w:val="32"/>
        </w:rPr>
        <w:t>15</w:t>
      </w:r>
      <w:r>
        <w:rPr>
          <w:rFonts w:hint="eastAsia" w:ascii="仿宋_GB2312" w:hAnsi="宋体" w:eastAsia="仿宋_GB2312" w:cs="宋体"/>
          <w:color w:val="102401"/>
          <w:kern w:val="0"/>
          <w:sz w:val="32"/>
          <w:szCs w:val="32"/>
        </w:rPr>
        <w:t>号</w:t>
      </w:r>
      <w:r>
        <w:rPr>
          <w:rFonts w:ascii="宋体" w:hAnsi="宋体" w:eastAsia="宋体" w:cs="宋体"/>
          <w:color w:val="102401"/>
          <w:kern w:val="0"/>
          <w:sz w:val="32"/>
          <w:szCs w:val="32"/>
        </w:rPr>
        <w:t>9</w:t>
      </w:r>
      <w:r>
        <w:rPr>
          <w:rFonts w:hint="eastAsia" w:ascii="仿宋_GB2312" w:hAnsi="宋体" w:eastAsia="仿宋_GB2312" w:cs="宋体"/>
          <w:color w:val="102401"/>
          <w:kern w:val="0"/>
          <w:sz w:val="32"/>
          <w:szCs w:val="32"/>
        </w:rPr>
        <w:t>楼</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经我局执法监察支队</w:t>
      </w: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10</w:t>
      </w:r>
      <w:r>
        <w:rPr>
          <w:rFonts w:hint="eastAsia" w:ascii="仿宋_GB2312" w:hAnsi="宋体" w:eastAsia="仿宋_GB2312" w:cs="宋体"/>
          <w:color w:val="102401"/>
          <w:kern w:val="0"/>
          <w:sz w:val="32"/>
          <w:szCs w:val="32"/>
        </w:rPr>
        <w:t>月</w:t>
      </w:r>
      <w:r>
        <w:rPr>
          <w:rFonts w:ascii="宋体" w:hAnsi="宋体" w:eastAsia="宋体" w:cs="宋体"/>
          <w:color w:val="102401"/>
          <w:kern w:val="0"/>
          <w:sz w:val="32"/>
          <w:szCs w:val="32"/>
        </w:rPr>
        <w:t>31</w:t>
      </w:r>
      <w:r>
        <w:rPr>
          <w:rFonts w:hint="eastAsia" w:ascii="仿宋_GB2312" w:hAnsi="宋体" w:eastAsia="仿宋_GB2312" w:cs="宋体"/>
          <w:color w:val="102401"/>
          <w:kern w:val="0"/>
          <w:sz w:val="32"/>
          <w:szCs w:val="32"/>
        </w:rPr>
        <w:t>日调查发现，当事人自</w:t>
      </w:r>
      <w:r>
        <w:rPr>
          <w:rFonts w:ascii="宋体" w:hAnsi="宋体" w:eastAsia="宋体" w:cs="宋体"/>
          <w:color w:val="102401"/>
          <w:kern w:val="0"/>
          <w:sz w:val="32"/>
          <w:szCs w:val="32"/>
        </w:rPr>
        <w:t>2016</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8</w:t>
      </w:r>
      <w:r>
        <w:rPr>
          <w:rFonts w:hint="eastAsia" w:ascii="仿宋_GB2312" w:hAnsi="宋体" w:eastAsia="仿宋_GB2312" w:cs="宋体"/>
          <w:color w:val="102401"/>
          <w:kern w:val="0"/>
          <w:sz w:val="32"/>
          <w:szCs w:val="32"/>
        </w:rPr>
        <w:t>月在我市白云区蛟腾街一巷</w:t>
      </w:r>
      <w:r>
        <w:rPr>
          <w:rFonts w:ascii="宋体" w:hAnsi="宋体" w:eastAsia="宋体" w:cs="宋体"/>
          <w:color w:val="102401"/>
          <w:kern w:val="0"/>
          <w:sz w:val="32"/>
          <w:szCs w:val="32"/>
        </w:rPr>
        <w:t>15</w:t>
      </w:r>
      <w:r>
        <w:rPr>
          <w:rFonts w:hint="eastAsia" w:ascii="仿宋_GB2312" w:hAnsi="宋体" w:eastAsia="仿宋_GB2312" w:cs="宋体"/>
          <w:color w:val="102401"/>
          <w:kern w:val="0"/>
          <w:sz w:val="32"/>
          <w:szCs w:val="32"/>
        </w:rPr>
        <w:t>号</w:t>
      </w:r>
      <w:r>
        <w:rPr>
          <w:rFonts w:ascii="宋体" w:hAnsi="宋体" w:eastAsia="宋体" w:cs="宋体"/>
          <w:color w:val="102401"/>
          <w:kern w:val="0"/>
          <w:sz w:val="32"/>
          <w:szCs w:val="32"/>
        </w:rPr>
        <w:t>9</w:t>
      </w:r>
      <w:r>
        <w:rPr>
          <w:rFonts w:hint="eastAsia" w:ascii="仿宋_GB2312" w:hAnsi="宋体" w:eastAsia="仿宋_GB2312" w:cs="宋体"/>
          <w:color w:val="102401"/>
          <w:kern w:val="0"/>
          <w:sz w:val="32"/>
          <w:szCs w:val="32"/>
        </w:rPr>
        <w:t>楼建成并投产的广州市创利五金厂（尚未办理工商登记手续）项目，投资总额约</w:t>
      </w:r>
      <w:r>
        <w:rPr>
          <w:rFonts w:ascii="宋体" w:hAnsi="宋体" w:eastAsia="宋体" w:cs="宋体"/>
          <w:color w:val="102401"/>
          <w:kern w:val="0"/>
          <w:sz w:val="32"/>
          <w:szCs w:val="32"/>
        </w:rPr>
        <w:t>3</w:t>
      </w:r>
      <w:r>
        <w:rPr>
          <w:rFonts w:hint="eastAsia" w:ascii="仿宋_GB2312" w:hAnsi="宋体" w:eastAsia="仿宋_GB2312" w:cs="宋体"/>
          <w:color w:val="102401"/>
          <w:kern w:val="0"/>
          <w:sz w:val="32"/>
          <w:szCs w:val="32"/>
        </w:rPr>
        <w:t>万元；该项目主营手表表面加工，设有电镀、喷涂、丝印、五金等</w:t>
      </w:r>
      <w:r>
        <w:rPr>
          <w:rFonts w:ascii="宋体" w:hAnsi="宋体" w:eastAsia="宋体" w:cs="宋体"/>
          <w:color w:val="102401"/>
          <w:kern w:val="0"/>
          <w:sz w:val="32"/>
          <w:szCs w:val="32"/>
        </w:rPr>
        <w:t>4</w:t>
      </w:r>
      <w:r>
        <w:rPr>
          <w:rFonts w:hint="eastAsia" w:ascii="仿宋_GB2312" w:hAnsi="宋体" w:eastAsia="仿宋_GB2312" w:cs="宋体"/>
          <w:color w:val="102401"/>
          <w:kern w:val="0"/>
          <w:sz w:val="32"/>
          <w:szCs w:val="32"/>
        </w:rPr>
        <w:t>个车间，尚未办理环境影响评价审批手续和排污许可证；项目产生的电镀工艺产生的除油和清洗等废水自行收集存储，并未经处理直接排入下水道；</w:t>
      </w: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10</w:t>
      </w:r>
      <w:r>
        <w:rPr>
          <w:rFonts w:hint="eastAsia" w:ascii="仿宋_GB2312" w:hAnsi="宋体" w:eastAsia="仿宋_GB2312" w:cs="宋体"/>
          <w:color w:val="102401"/>
          <w:kern w:val="0"/>
          <w:sz w:val="32"/>
          <w:szCs w:val="32"/>
        </w:rPr>
        <w:t>月</w:t>
      </w:r>
      <w:r>
        <w:rPr>
          <w:rFonts w:ascii="宋体" w:hAnsi="宋体" w:eastAsia="宋体" w:cs="宋体"/>
          <w:color w:val="102401"/>
          <w:kern w:val="0"/>
          <w:sz w:val="32"/>
          <w:szCs w:val="32"/>
        </w:rPr>
        <w:t>31</w:t>
      </w:r>
      <w:r>
        <w:rPr>
          <w:rFonts w:hint="eastAsia" w:ascii="仿宋_GB2312" w:hAnsi="宋体" w:eastAsia="仿宋_GB2312" w:cs="宋体"/>
          <w:color w:val="102401"/>
          <w:kern w:val="0"/>
          <w:sz w:val="32"/>
          <w:szCs w:val="32"/>
        </w:rPr>
        <w:t>日，该项目在正常生产情况下，经广州市环境监测中心站对除油废水储存器内的废水采样监测，其中总镍浓度为</w:t>
      </w:r>
      <w:r>
        <w:rPr>
          <w:rFonts w:ascii="宋体" w:hAnsi="宋体" w:eastAsia="宋体" w:cs="宋体"/>
          <w:color w:val="102401"/>
          <w:kern w:val="0"/>
          <w:sz w:val="32"/>
          <w:szCs w:val="32"/>
        </w:rPr>
        <w:t>1.76</w:t>
      </w:r>
      <w:r>
        <w:rPr>
          <w:rFonts w:hint="eastAsia" w:ascii="仿宋_GB2312" w:hAnsi="宋体" w:eastAsia="仿宋_GB2312" w:cs="宋体"/>
          <w:color w:val="102401"/>
          <w:kern w:val="0"/>
          <w:sz w:val="32"/>
          <w:szCs w:val="32"/>
        </w:rPr>
        <w:t>毫克</w:t>
      </w:r>
      <w:r>
        <w:rPr>
          <w:rFonts w:ascii="宋体" w:hAnsi="宋体" w:eastAsia="宋体" w:cs="宋体"/>
          <w:color w:val="102401"/>
          <w:kern w:val="0"/>
          <w:sz w:val="32"/>
          <w:szCs w:val="32"/>
        </w:rPr>
        <w:t>/</w:t>
      </w:r>
      <w:r>
        <w:rPr>
          <w:rFonts w:hint="eastAsia" w:ascii="仿宋_GB2312" w:hAnsi="宋体" w:eastAsia="仿宋_GB2312" w:cs="宋体"/>
          <w:color w:val="102401"/>
          <w:kern w:val="0"/>
          <w:sz w:val="32"/>
          <w:szCs w:val="32"/>
        </w:rPr>
        <w:t>升、总铬</w:t>
      </w:r>
      <w:r>
        <w:rPr>
          <w:rFonts w:ascii="宋体" w:hAnsi="宋体" w:eastAsia="宋体" w:cs="宋体"/>
          <w:color w:val="102401"/>
          <w:kern w:val="0"/>
          <w:sz w:val="32"/>
          <w:szCs w:val="32"/>
        </w:rPr>
        <w:t>1.40</w:t>
      </w:r>
      <w:r>
        <w:rPr>
          <w:rFonts w:hint="eastAsia" w:ascii="仿宋_GB2312" w:hAnsi="宋体" w:eastAsia="仿宋_GB2312" w:cs="宋体"/>
          <w:color w:val="102401"/>
          <w:kern w:val="0"/>
          <w:sz w:val="32"/>
          <w:szCs w:val="32"/>
        </w:rPr>
        <w:t>毫克</w:t>
      </w:r>
      <w:r>
        <w:rPr>
          <w:rFonts w:ascii="宋体" w:hAnsi="宋体" w:eastAsia="宋体" w:cs="宋体"/>
          <w:color w:val="102401"/>
          <w:kern w:val="0"/>
          <w:sz w:val="32"/>
          <w:szCs w:val="32"/>
        </w:rPr>
        <w:t>/</w:t>
      </w:r>
      <w:r>
        <w:rPr>
          <w:rFonts w:hint="eastAsia" w:ascii="仿宋_GB2312" w:hAnsi="宋体" w:eastAsia="仿宋_GB2312" w:cs="宋体"/>
          <w:color w:val="102401"/>
          <w:kern w:val="0"/>
          <w:sz w:val="32"/>
          <w:szCs w:val="32"/>
        </w:rPr>
        <w:t>升。</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以上事实，有《询问笔录》、《现场检查笔录》等证据为证。</w:t>
      </w:r>
    </w:p>
    <w:p>
      <w:pPr>
        <w:widowControl/>
        <w:wordWrap w:val="0"/>
        <w:snapToGrid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当事人上述行为违反了中华人民共和国环境影响评价法》第二十二条第一款、《广东省环境保护条例》第二十一条和第二十五条等规定。</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11</w:t>
      </w:r>
      <w:r>
        <w:rPr>
          <w:rFonts w:hint="eastAsia" w:ascii="仿宋_GB2312" w:hAnsi="宋体" w:eastAsia="仿宋_GB2312" w:cs="宋体"/>
          <w:color w:val="102401"/>
          <w:kern w:val="0"/>
          <w:sz w:val="32"/>
          <w:szCs w:val="32"/>
        </w:rPr>
        <w:t>月</w:t>
      </w:r>
      <w:r>
        <w:rPr>
          <w:rFonts w:ascii="宋体" w:hAnsi="宋体" w:eastAsia="宋体" w:cs="宋体"/>
          <w:color w:val="102401"/>
          <w:kern w:val="0"/>
          <w:sz w:val="32"/>
          <w:szCs w:val="32"/>
        </w:rPr>
        <w:t>22</w:t>
      </w:r>
      <w:r>
        <w:rPr>
          <w:rFonts w:hint="eastAsia" w:ascii="仿宋_GB2312" w:hAnsi="宋体" w:eastAsia="仿宋_GB2312" w:cs="宋体"/>
          <w:color w:val="102401"/>
          <w:kern w:val="0"/>
          <w:sz w:val="32"/>
          <w:szCs w:val="32"/>
        </w:rPr>
        <w:t>日，我局作出《行政处罚听证告知书》（穗环法告〔</w:t>
      </w: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w:t>
      </w:r>
      <w:r>
        <w:rPr>
          <w:rFonts w:ascii="宋体" w:hAnsi="宋体" w:eastAsia="宋体" w:cs="宋体"/>
          <w:color w:val="102401"/>
          <w:kern w:val="0"/>
          <w:sz w:val="32"/>
          <w:szCs w:val="32"/>
        </w:rPr>
        <w:t>86</w:t>
      </w:r>
      <w:r>
        <w:rPr>
          <w:rFonts w:hint="eastAsia" w:ascii="仿宋_GB2312" w:hAnsi="宋体" w:eastAsia="仿宋_GB2312" w:cs="宋体"/>
          <w:color w:val="102401"/>
          <w:kern w:val="0"/>
          <w:sz w:val="32"/>
          <w:szCs w:val="32"/>
        </w:rPr>
        <w:t>号），并于</w:t>
      </w: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11</w:t>
      </w:r>
      <w:r>
        <w:rPr>
          <w:rFonts w:hint="eastAsia" w:ascii="仿宋_GB2312" w:hAnsi="宋体" w:eastAsia="仿宋_GB2312" w:cs="宋体"/>
          <w:color w:val="102401"/>
          <w:kern w:val="0"/>
          <w:sz w:val="32"/>
          <w:szCs w:val="32"/>
        </w:rPr>
        <w:t>月</w:t>
      </w:r>
      <w:r>
        <w:rPr>
          <w:rFonts w:ascii="宋体" w:hAnsi="宋体" w:eastAsia="宋体" w:cs="宋体"/>
          <w:color w:val="102401"/>
          <w:kern w:val="0"/>
          <w:sz w:val="32"/>
          <w:szCs w:val="32"/>
        </w:rPr>
        <w:t>25</w:t>
      </w:r>
      <w:r>
        <w:rPr>
          <w:rFonts w:hint="eastAsia" w:ascii="仿宋_GB2312" w:hAnsi="宋体" w:eastAsia="仿宋_GB2312" w:cs="宋体"/>
          <w:color w:val="102401"/>
          <w:kern w:val="0"/>
          <w:sz w:val="32"/>
          <w:szCs w:val="32"/>
        </w:rPr>
        <w:t>日送达当事人。当事人未在有效期限内提出陈述申辩意见。经审理，我局认为当事人的违法事实清楚，现本案经我局审查结束。</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我局依据《中华人民共和国环境影响评价法》第三十一条第一款、《广东省环境保护条例》第六十六条第一款和第六十九条第二款、《环境保护主管部门实施限制生产、停产整治办法》第六条第（一）项和第十五条的规定，拟责令当事人经营的广州市创利五金厂项目停产整治，停产整治的期限自责令停产整治决定书送达之日起至停产整治决定解除之日止，并作出处罚如下：</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罚款</w:t>
      </w:r>
      <w:r>
        <w:rPr>
          <w:rFonts w:ascii="宋体" w:hAnsi="宋体" w:eastAsia="宋体" w:cs="宋体"/>
          <w:color w:val="102401"/>
          <w:kern w:val="0"/>
          <w:sz w:val="32"/>
          <w:szCs w:val="32"/>
        </w:rPr>
        <w:t>20</w:t>
      </w:r>
      <w:r>
        <w:rPr>
          <w:rFonts w:hint="eastAsia" w:ascii="仿宋_GB2312" w:hAnsi="宋体" w:eastAsia="仿宋_GB2312" w:cs="宋体"/>
          <w:color w:val="102401"/>
          <w:kern w:val="0"/>
          <w:sz w:val="32"/>
          <w:szCs w:val="32"/>
        </w:rPr>
        <w:t>万元。</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限当事人在收到本处罚决定书之日起</w:t>
      </w:r>
      <w:r>
        <w:rPr>
          <w:rFonts w:ascii="宋体" w:hAnsi="宋体" w:eastAsia="宋体" w:cs="宋体"/>
          <w:color w:val="102401"/>
          <w:kern w:val="0"/>
          <w:sz w:val="32"/>
          <w:szCs w:val="32"/>
        </w:rPr>
        <w:t>15</w:t>
      </w:r>
      <w:r>
        <w:rPr>
          <w:rFonts w:hint="eastAsia" w:ascii="仿宋_GB2312" w:hAnsi="宋体" w:eastAsia="仿宋_GB2312" w:cs="宋体"/>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宋体" w:hAnsi="宋体" w:eastAsia="宋体" w:cs="宋体"/>
          <w:color w:val="102401"/>
          <w:kern w:val="0"/>
          <w:sz w:val="32"/>
          <w:szCs w:val="32"/>
        </w:rPr>
        <w:t>3124</w:t>
      </w:r>
      <w:r>
        <w:rPr>
          <w:rFonts w:hint="eastAsia" w:ascii="仿宋_GB2312" w:hAnsi="宋体" w:eastAsia="仿宋_GB2312" w:cs="宋体"/>
          <w:color w:val="102401"/>
          <w:kern w:val="0"/>
          <w:sz w:val="32"/>
          <w:szCs w:val="32"/>
        </w:rPr>
        <w:t>。</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如不服上述行政处罚决定，可在接到本处罚决定书之日起六十日内，向广州市人民政府（地址：越秀区小北路</w:t>
      </w:r>
      <w:r>
        <w:rPr>
          <w:rFonts w:ascii="宋体" w:hAnsi="宋体" w:eastAsia="宋体" w:cs="宋体"/>
          <w:color w:val="102401"/>
          <w:kern w:val="0"/>
          <w:sz w:val="32"/>
          <w:szCs w:val="32"/>
        </w:rPr>
        <w:t>183</w:t>
      </w:r>
      <w:r>
        <w:rPr>
          <w:rFonts w:hint="eastAsia" w:ascii="仿宋_GB2312" w:hAnsi="宋体" w:eastAsia="仿宋_GB2312" w:cs="宋体"/>
          <w:color w:val="102401"/>
          <w:kern w:val="0"/>
          <w:sz w:val="32"/>
          <w:szCs w:val="32"/>
        </w:rPr>
        <w:t>号金和大厦</w:t>
      </w:r>
      <w:r>
        <w:rPr>
          <w:rFonts w:ascii="宋体" w:hAnsi="宋体" w:eastAsia="宋体" w:cs="宋体"/>
          <w:color w:val="102401"/>
          <w:kern w:val="0"/>
          <w:sz w:val="32"/>
          <w:szCs w:val="32"/>
        </w:rPr>
        <w:t>2</w:t>
      </w:r>
      <w:r>
        <w:rPr>
          <w:rFonts w:hint="eastAsia" w:ascii="仿宋_GB2312" w:hAnsi="宋体" w:eastAsia="仿宋_GB2312" w:cs="宋体"/>
          <w:color w:val="102401"/>
          <w:kern w:val="0"/>
          <w:sz w:val="32"/>
          <w:szCs w:val="32"/>
        </w:rPr>
        <w:t>楼，电话：</w:t>
      </w:r>
      <w:r>
        <w:rPr>
          <w:rFonts w:ascii="宋体" w:hAnsi="宋体" w:eastAsia="宋体" w:cs="宋体"/>
          <w:color w:val="102401"/>
          <w:kern w:val="0"/>
          <w:sz w:val="32"/>
          <w:szCs w:val="32"/>
        </w:rPr>
        <w:t>83555988</w:t>
      </w:r>
      <w:r>
        <w:rPr>
          <w:rFonts w:hint="eastAsia" w:ascii="仿宋_GB2312" w:hAnsi="宋体" w:eastAsia="仿宋_GB2312" w:cs="宋体"/>
          <w:color w:val="102401"/>
          <w:kern w:val="0"/>
          <w:sz w:val="32"/>
          <w:szCs w:val="32"/>
        </w:rPr>
        <w:t>）或广东省环境保护厅（地址：天河区龙口西路</w:t>
      </w:r>
      <w:r>
        <w:rPr>
          <w:rFonts w:ascii="宋体" w:hAnsi="宋体" w:eastAsia="宋体" w:cs="宋体"/>
          <w:color w:val="102401"/>
          <w:kern w:val="0"/>
          <w:sz w:val="32"/>
          <w:szCs w:val="32"/>
        </w:rPr>
        <w:t>213</w:t>
      </w:r>
      <w:r>
        <w:rPr>
          <w:rFonts w:hint="eastAsia" w:ascii="仿宋_GB2312" w:hAnsi="宋体" w:eastAsia="仿宋_GB2312" w:cs="宋体"/>
          <w:color w:val="102401"/>
          <w:kern w:val="0"/>
          <w:sz w:val="32"/>
          <w:szCs w:val="32"/>
        </w:rPr>
        <w:t>号，电话：</w:t>
      </w:r>
      <w:r>
        <w:rPr>
          <w:rFonts w:ascii="宋体" w:hAnsi="宋体" w:eastAsia="宋体" w:cs="宋体"/>
          <w:color w:val="102401"/>
          <w:kern w:val="0"/>
          <w:sz w:val="32"/>
          <w:szCs w:val="32"/>
        </w:rPr>
        <w:t>87533928</w:t>
      </w:r>
      <w:r>
        <w:rPr>
          <w:rFonts w:hint="eastAsia" w:ascii="仿宋_GB2312" w:hAnsi="宋体" w:eastAsia="仿宋_GB2312" w:cs="宋体"/>
          <w:color w:val="102401"/>
          <w:kern w:val="0"/>
          <w:sz w:val="32"/>
          <w:szCs w:val="32"/>
        </w:rPr>
        <w:t>、</w:t>
      </w:r>
      <w:r>
        <w:rPr>
          <w:rFonts w:ascii="宋体" w:hAnsi="宋体" w:eastAsia="宋体" w:cs="宋体"/>
          <w:color w:val="102401"/>
          <w:kern w:val="0"/>
          <w:sz w:val="32"/>
          <w:szCs w:val="32"/>
        </w:rPr>
        <w:t>87531656</w:t>
      </w:r>
      <w:r>
        <w:rPr>
          <w:rFonts w:hint="eastAsia" w:ascii="仿宋_GB2312" w:hAnsi="宋体" w:eastAsia="仿宋_GB2312" w:cs="宋体"/>
          <w:color w:val="102401"/>
          <w:kern w:val="0"/>
          <w:sz w:val="32"/>
          <w:szCs w:val="32"/>
        </w:rPr>
        <w:t>）提出行政复议申请，或在六个月内直接向有管辖权的人民法院提起行政诉讼。</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行政复议、行政诉讼期间内，不得停止本决定的履行。逾期不履行本处罚决定，我局将申请人民法院强制执行，并按罚款额每日加处百分之三罚款。</w:t>
      </w:r>
      <w:r>
        <w:rPr>
          <w:rFonts w:ascii="宋体" w:hAnsi="宋体" w:eastAsia="宋体" w:cs="宋体"/>
          <w:color w:val="102401"/>
          <w:kern w:val="0"/>
          <w:sz w:val="32"/>
          <w:szCs w:val="32"/>
        </w:rPr>
        <w:t xml:space="preserve"> </w:t>
      </w:r>
    </w:p>
    <w:p>
      <w:pPr>
        <w:widowControl/>
        <w:wordWrap w:val="0"/>
        <w:spacing w:before="100" w:beforeAutospacing="1" w:after="100" w:afterAutospacing="1" w:line="600" w:lineRule="atLeast"/>
        <w:ind w:firstLine="640"/>
        <w:jc w:val="left"/>
        <w:rPr>
          <w:rFonts w:ascii="宋体" w:hAnsi="宋体" w:eastAsia="宋体" w:cs="宋体"/>
          <w:color w:val="102401"/>
          <w:kern w:val="0"/>
          <w:sz w:val="24"/>
          <w:szCs w:val="24"/>
        </w:rPr>
      </w:pPr>
      <w:r>
        <w:rPr>
          <w:rFonts w:ascii="宋体" w:hAnsi="宋体" w:eastAsia="宋体" w:cs="宋体"/>
          <w:color w:val="102401"/>
          <w:kern w:val="0"/>
          <w:sz w:val="32"/>
          <w:szCs w:val="32"/>
        </w:rPr>
        <w:t>  </w:t>
      </w:r>
    </w:p>
    <w:p>
      <w:pPr>
        <w:widowControl/>
        <w:wordWrap w:val="0"/>
        <w:snapToGrid w:val="0"/>
        <w:spacing w:before="100" w:beforeAutospacing="1" w:after="100" w:afterAutospacing="1" w:line="600" w:lineRule="atLeast"/>
        <w:ind w:right="968"/>
        <w:jc w:val="righ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广州市环境保护局</w:t>
      </w:r>
    </w:p>
    <w:p>
      <w:pPr>
        <w:widowControl/>
        <w:wordWrap w:val="0"/>
        <w:snapToGrid w:val="0"/>
        <w:spacing w:before="100" w:beforeAutospacing="1" w:after="100" w:afterAutospacing="1" w:line="600" w:lineRule="atLeast"/>
        <w:ind w:right="968"/>
        <w:jc w:val="right"/>
        <w:rPr>
          <w:rFonts w:ascii="宋体" w:hAnsi="宋体" w:eastAsia="宋体" w:cs="宋体"/>
          <w:color w:val="102401"/>
          <w:kern w:val="0"/>
          <w:sz w:val="24"/>
          <w:szCs w:val="24"/>
        </w:rPr>
      </w:pPr>
      <w:r>
        <w:rPr>
          <w:rFonts w:ascii="宋体" w:hAnsi="宋体" w:eastAsia="宋体" w:cs="宋体"/>
          <w:color w:val="102401"/>
          <w:kern w:val="0"/>
          <w:sz w:val="32"/>
          <w:szCs w:val="32"/>
        </w:rPr>
        <w:t>2017</w:t>
      </w:r>
      <w:r>
        <w:rPr>
          <w:rFonts w:hint="eastAsia" w:ascii="仿宋_GB2312" w:hAnsi="宋体" w:eastAsia="仿宋_GB2312" w:cs="宋体"/>
          <w:color w:val="102401"/>
          <w:kern w:val="0"/>
          <w:sz w:val="32"/>
          <w:szCs w:val="32"/>
        </w:rPr>
        <w:t>年</w:t>
      </w:r>
      <w:r>
        <w:rPr>
          <w:rFonts w:ascii="宋体" w:hAnsi="宋体" w:eastAsia="宋体" w:cs="宋体"/>
          <w:color w:val="102401"/>
          <w:kern w:val="0"/>
          <w:sz w:val="32"/>
          <w:szCs w:val="32"/>
        </w:rPr>
        <w:t>12</w:t>
      </w:r>
      <w:r>
        <w:rPr>
          <w:rFonts w:hint="eastAsia" w:ascii="仿宋_GB2312" w:hAnsi="宋体" w:eastAsia="仿宋_GB2312" w:cs="宋体"/>
          <w:color w:val="102401"/>
          <w:kern w:val="0"/>
          <w:sz w:val="32"/>
          <w:szCs w:val="32"/>
        </w:rPr>
        <w:t>月</w:t>
      </w:r>
      <w:r>
        <w:rPr>
          <w:rFonts w:ascii="宋体" w:hAnsi="宋体" w:eastAsia="宋体" w:cs="宋体"/>
          <w:color w:val="102401"/>
          <w:kern w:val="0"/>
          <w:sz w:val="32"/>
          <w:szCs w:val="32"/>
        </w:rPr>
        <w:t>22</w:t>
      </w:r>
      <w:r>
        <w:rPr>
          <w:rFonts w:hint="eastAsia" w:ascii="仿宋_GB2312" w:hAnsi="宋体" w:eastAsia="仿宋_GB2312" w:cs="宋体"/>
          <w:color w:val="102401"/>
          <w:kern w:val="0"/>
          <w:sz w:val="32"/>
          <w:szCs w:val="32"/>
        </w:rPr>
        <w:t>日</w:t>
      </w:r>
    </w:p>
    <w:p>
      <w:pPr>
        <w:widowControl/>
        <w:wordWrap w:val="0"/>
        <w:snapToGrid w:val="0"/>
        <w:spacing w:before="100" w:beforeAutospacing="1" w:after="100" w:afterAutospacing="1" w:line="600" w:lineRule="atLeast"/>
        <w:ind w:right="968"/>
        <w:jc w:val="right"/>
        <w:rPr>
          <w:rFonts w:ascii="宋体" w:hAnsi="宋体" w:eastAsia="宋体" w:cs="宋体"/>
          <w:color w:val="102401"/>
          <w:kern w:val="0"/>
          <w:sz w:val="24"/>
          <w:szCs w:val="24"/>
        </w:rPr>
      </w:pPr>
      <w:r>
        <w:rPr>
          <w:rFonts w:ascii="宋体" w:hAnsi="宋体" w:eastAsia="宋体" w:cs="宋体"/>
          <w:color w:val="102401"/>
          <w:kern w:val="0"/>
          <w:sz w:val="32"/>
          <w:szCs w:val="32"/>
        </w:rPr>
        <w:t>   </w:t>
      </w:r>
    </w:p>
    <w:p>
      <w:pPr>
        <w:widowControl/>
        <w:wordWrap w:val="0"/>
        <w:spacing w:before="100" w:beforeAutospacing="1" w:after="100" w:afterAutospacing="1" w:line="432" w:lineRule="auto"/>
        <w:jc w:val="left"/>
        <w:rPr>
          <w:rFonts w:ascii="宋体" w:hAnsi="宋体" w:eastAsia="宋体" w:cs="宋体"/>
          <w:color w:val="102401"/>
          <w:kern w:val="0"/>
          <w:sz w:val="24"/>
          <w:szCs w:val="24"/>
        </w:rPr>
      </w:pPr>
      <w:r>
        <w:rPr>
          <w:rFonts w:hint="eastAsia" w:ascii="仿宋_GB2312" w:hAnsi="宋体" w:eastAsia="仿宋_GB2312" w:cs="宋体"/>
          <w:color w:val="102401"/>
          <w:kern w:val="0"/>
          <w:sz w:val="32"/>
          <w:szCs w:val="32"/>
        </w:rPr>
        <w:t>  抄送：局环评处、局污防处、执法监察支队，白云区环保局。</w:t>
      </w:r>
    </w:p>
    <w:p>
      <w:pPr>
        <w:widowControl/>
        <w:wordWrap w:val="0"/>
        <w:jc w:val="center"/>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0ODljOGM5ZmQ5ZmEyZDBkMDViNzAzNjQ4YjZkZTgifQ=="/>
  </w:docVars>
  <w:rsids>
    <w:rsidRoot w:val="00E141A2"/>
    <w:rsid w:val="00061BB1"/>
    <w:rsid w:val="002A0140"/>
    <w:rsid w:val="003178C7"/>
    <w:rsid w:val="0083507D"/>
    <w:rsid w:val="00B06FFF"/>
    <w:rsid w:val="00BC7EB6"/>
    <w:rsid w:val="00E141A2"/>
    <w:rsid w:val="00F77D82"/>
    <w:rsid w:val="00FF01BB"/>
    <w:rsid w:val="4543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uiPriority w:val="99"/>
    <w:pPr>
      <w:widowControl/>
      <w:jc w:val="left"/>
    </w:pPr>
    <w:rPr>
      <w:rFonts w:ascii="宋体" w:hAnsi="宋体" w:eastAsia="宋体" w:cs="宋体"/>
      <w:kern w:val="0"/>
      <w:sz w:val="24"/>
      <w:szCs w:val="24"/>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正文文本 Char"/>
    <w:basedOn w:val="7"/>
    <w:link w:val="2"/>
    <w:autoRedefine/>
    <w:semiHidden/>
    <w:qFormat/>
    <w:uiPriority w:val="99"/>
    <w:rPr>
      <w:rFonts w:ascii="宋体" w:hAnsi="宋体" w:eastAsia="宋体" w:cs="宋体"/>
      <w:kern w:val="0"/>
      <w:sz w:val="24"/>
      <w:szCs w:val="24"/>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268</Words>
  <Characters>1533</Characters>
  <Lines>12</Lines>
  <Paragraphs>3</Paragraphs>
  <TotalTime>4</TotalTime>
  <ScaleCrop>false</ScaleCrop>
  <LinksUpToDate>false</LinksUpToDate>
  <CharactersWithSpaces>1798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2019-01-29T07:28:00Z</dcterms:created>
  <dc:creator>ⶠF</dc:creator>
  <cp:lastModifiedBy>霍泽铭</cp:lastModifiedBy>
  <dcterms:modified xsi:type="dcterms:W3CDTF">2024-01-22T09:06:44Z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1748431F08024BEA96E970FFF092BD4C_13</vt:lpwstr>
  </property>
</Properties>
</file>