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52"/>
          <w:szCs w:val="52"/>
        </w:rPr>
      </w:pPr>
      <w:r>
        <w:rPr>
          <w:rFonts w:hint="eastAsia" w:ascii="方正小标宋_GBK" w:eastAsia="方正小标宋_GBK" w:hAnsiTheme="majorEastAsia"/>
          <w:sz w:val="52"/>
          <w:szCs w:val="52"/>
        </w:rPr>
        <w:t>2023广州市城市声环境监测</w:t>
      </w:r>
    </w:p>
    <w:p>
      <w:pPr>
        <w:adjustRightInd w:val="0"/>
        <w:snapToGrid w:val="0"/>
        <w:spacing w:line="590" w:lineRule="exact"/>
        <w:jc w:val="center"/>
        <w:rPr>
          <w:rFonts w:ascii="方正小标宋_GBK" w:eastAsia="方正小标宋_GBK" w:hAnsiTheme="majorEastAsia"/>
          <w:sz w:val="52"/>
          <w:szCs w:val="52"/>
        </w:rPr>
      </w:pPr>
      <w:r>
        <w:rPr>
          <w:rFonts w:hint="eastAsia" w:ascii="方正小标宋_GBK" w:eastAsia="方正小标宋_GBK" w:hAnsiTheme="majorEastAsia"/>
          <w:sz w:val="52"/>
          <w:szCs w:val="52"/>
        </w:rPr>
        <w:t>点位普查调整工作项目采购需求书</w:t>
      </w: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r>
        <w:rPr>
          <w:rFonts w:hint="eastAsia" w:ascii="方正小标宋_GBK" w:eastAsia="方正小标宋_GBK" w:hAnsiTheme="majorEastAsia"/>
          <w:sz w:val="36"/>
          <w:szCs w:val="36"/>
        </w:rPr>
        <w:t>广东省广州生态环境监测中心站</w:t>
      </w: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jc w:val="center"/>
        <w:rPr>
          <w:rFonts w:ascii="方正小标宋_GBK" w:eastAsia="方正小标宋_GBK" w:hAnsiTheme="majorEastAsia"/>
          <w:sz w:val="36"/>
          <w:szCs w:val="36"/>
        </w:rPr>
      </w:pP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本项目分为两个包组，总预算约为43.2万元。根据《广东省生态环境监测“十四五”规划》（粤环办〔2022〕2号）、《“十四五”噪声污染防治行动计划》、《“十四五”生态环境监测规划》、《环境噪声监测技术规范 城市声环境常规监测》（HJ640-2012）和《2023年广州市城市区域声环境和道路交通声环境监测点位调整项目工作方案》的要求，制定本需求。</w:t>
      </w:r>
    </w:p>
    <w:p>
      <w:pPr>
        <w:adjustRightInd w:val="0"/>
        <w:snapToGrid w:val="0"/>
        <w:spacing w:line="590" w:lineRule="exact"/>
        <w:rPr>
          <w:rFonts w:ascii="宋体" w:hAnsi="宋体" w:eastAsia="宋体"/>
          <w:b/>
          <w:sz w:val="32"/>
        </w:rPr>
      </w:pPr>
      <w:r>
        <w:rPr>
          <w:rFonts w:hint="eastAsia" w:ascii="宋体" w:hAnsi="宋体" w:eastAsia="宋体"/>
          <w:b/>
          <w:sz w:val="32"/>
        </w:rPr>
        <w:t>一</w:t>
      </w:r>
      <w:r>
        <w:rPr>
          <w:rFonts w:ascii="宋体" w:hAnsi="宋体" w:eastAsia="宋体"/>
          <w:b/>
          <w:sz w:val="32"/>
        </w:rPr>
        <w:t>、</w:t>
      </w:r>
      <w:r>
        <w:rPr>
          <w:rFonts w:hint="eastAsia" w:ascii="宋体" w:hAnsi="宋体" w:eastAsia="宋体"/>
          <w:b/>
          <w:sz w:val="32"/>
        </w:rPr>
        <w:t>项目基本情况</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（一）项目概况</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本项目总预算约为43.2万元，根据《“十四五”噪声污染防治行动计划》、《广东省生态环境监测“十四五”规划》（粤环办〔2022〕2号）、《环境噪声监测技术规范 城市声环境常规监测》（HJ640-2012）和《2023年广州市城市区域声环境和道路交通声环境监测点位调整项目工作方案》的要求，制定本需求。</w:t>
      </w:r>
      <w:r>
        <w:rPr>
          <w:rFonts w:ascii="仿宋_GB2312" w:hAnsi="仿宋" w:eastAsia="仿宋_GB2312"/>
          <w:sz w:val="28"/>
          <w:szCs w:val="32"/>
        </w:rPr>
        <w:t xml:space="preserve"> </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（二）项目内容</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包组一（19.2万元）：</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对2023年广州市城市区域声环境和道路交通声环境（网络）普查点位开展现场噪声监测。其中区域声环境网络点位200个，开展昼间监测；道路交通声环境普查点位400个，开展昼（夜）间监测。以上监测均需出具正式监测报告，协助后期数据处理。</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包组二（24万元）：</w:t>
      </w:r>
    </w:p>
    <w:p>
      <w:pPr>
        <w:adjustRightInd w:val="0"/>
        <w:snapToGrid w:val="0"/>
        <w:spacing w:line="590" w:lineRule="exact"/>
        <w:ind w:firstLine="560" w:firstLineChars="200"/>
        <w:jc w:val="left"/>
        <w:rPr>
          <w:rFonts w:ascii="仿宋_GB2312" w:hAnsi="仿宋" w:eastAsia="仿宋_GB2312"/>
          <w:sz w:val="28"/>
          <w:szCs w:val="32"/>
        </w:rPr>
      </w:pPr>
      <w:r>
        <w:rPr>
          <w:rFonts w:ascii="仿宋_GB2312" w:hAnsi="仿宋" w:eastAsia="仿宋_GB2312"/>
          <w:sz w:val="28"/>
          <w:szCs w:val="32"/>
        </w:rPr>
        <w:t>1</w:t>
      </w:r>
      <w:r>
        <w:rPr>
          <w:rFonts w:hint="eastAsia" w:ascii="仿宋_GB2312" w:hAnsi="仿宋" w:eastAsia="仿宋_GB2312"/>
          <w:sz w:val="28"/>
          <w:szCs w:val="32"/>
        </w:rPr>
        <w:t>、对广州市内20个重点网格点位开展摸查溯源与声纹识别研究工作，完成其中14个点位的</w:t>
      </w:r>
      <w:r>
        <w:rPr>
          <w:rFonts w:ascii="仿宋_GB2312" w:hAnsi="仿宋" w:eastAsia="仿宋_GB2312"/>
          <w:sz w:val="28"/>
          <w:szCs w:val="32"/>
        </w:rPr>
        <w:t>5</w:t>
      </w:r>
      <w:r>
        <w:rPr>
          <w:rFonts w:hint="eastAsia" w:ascii="仿宋" w:hAnsi="仿宋" w:eastAsia="仿宋"/>
          <w:sz w:val="28"/>
          <w:szCs w:val="32"/>
        </w:rPr>
        <w:t>×</w:t>
      </w:r>
      <w:r>
        <w:rPr>
          <w:rFonts w:hint="eastAsia" w:ascii="仿宋_GB2312" w:hAnsi="仿宋" w:eastAsia="仿宋_GB2312"/>
          <w:sz w:val="28"/>
          <w:szCs w:val="32"/>
        </w:rPr>
        <w:t>24小时的自动监测、噪声超标录音，提交监测溯源分析报告；</w:t>
      </w:r>
    </w:p>
    <w:p>
      <w:pPr>
        <w:adjustRightInd w:val="0"/>
        <w:snapToGrid w:val="0"/>
        <w:spacing w:line="590" w:lineRule="exact"/>
        <w:ind w:firstLine="560" w:firstLineChars="200"/>
        <w:jc w:val="left"/>
        <w:rPr>
          <w:rFonts w:ascii="仿宋_GB2312" w:hAnsi="仿宋" w:eastAsia="仿宋_GB2312"/>
          <w:sz w:val="28"/>
          <w:szCs w:val="32"/>
        </w:rPr>
      </w:pPr>
      <w:r>
        <w:rPr>
          <w:rFonts w:hint="eastAsia" w:ascii="仿宋_GB2312" w:hAnsi="仿宋" w:eastAsia="仿宋_GB2312"/>
          <w:sz w:val="28"/>
          <w:szCs w:val="32"/>
        </w:rPr>
        <w:t>2、开展20个重点网格点位</w:t>
      </w:r>
      <w:r>
        <w:rPr>
          <w:rFonts w:ascii="仿宋_GB2312" w:hAnsi="仿宋" w:eastAsia="仿宋_GB2312"/>
          <w:sz w:val="28"/>
          <w:szCs w:val="32"/>
        </w:rPr>
        <w:t>5</w:t>
      </w:r>
      <w:r>
        <w:rPr>
          <w:rFonts w:hint="eastAsia" w:ascii="仿宋" w:hAnsi="仿宋" w:eastAsia="仿宋"/>
          <w:sz w:val="28"/>
          <w:szCs w:val="32"/>
        </w:rPr>
        <w:t>×</w:t>
      </w:r>
      <w:r>
        <w:rPr>
          <w:rFonts w:hint="eastAsia" w:ascii="仿宋_GB2312" w:hAnsi="仿宋" w:eastAsia="仿宋_GB2312"/>
          <w:sz w:val="28"/>
          <w:szCs w:val="32"/>
        </w:rPr>
        <w:t>24小时监测的噪声超标录音声纹识别、至少3个重点网格点位的2</w:t>
      </w:r>
      <w:r>
        <w:rPr>
          <w:rFonts w:hint="eastAsia" w:ascii="仿宋" w:hAnsi="仿宋" w:eastAsia="仿宋"/>
          <w:sz w:val="28"/>
          <w:szCs w:val="32"/>
        </w:rPr>
        <w:t>×</w:t>
      </w:r>
      <w:r>
        <w:rPr>
          <w:rFonts w:ascii="仿宋_GB2312" w:hAnsi="仿宋" w:eastAsia="仿宋_GB2312"/>
          <w:sz w:val="28"/>
          <w:szCs w:val="32"/>
        </w:rPr>
        <w:t>24</w:t>
      </w:r>
      <w:r>
        <w:rPr>
          <w:rFonts w:hint="eastAsia" w:ascii="仿宋_GB2312" w:hAnsi="仿宋" w:eastAsia="仿宋_GB2312"/>
          <w:sz w:val="28"/>
          <w:szCs w:val="32"/>
        </w:rPr>
        <w:t>小时的声纹识别，提交声纹识别分析报告。</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（三）供应商资质</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包组一：</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供应商需具有国家或省市场监管部门颁发的《资质认定计量认证证书》（CMA）。且所提供的《资质认定计量认证证书》通过计量认证的监测项目中必须包含所投包组的监测项目。</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包组二：</w:t>
      </w:r>
    </w:p>
    <w:p>
      <w:pPr>
        <w:adjustRightInd w:val="0"/>
        <w:snapToGrid w:val="0"/>
        <w:spacing w:line="590" w:lineRule="exact"/>
        <w:ind w:firstLine="700" w:firstLineChars="250"/>
        <w:rPr>
          <w:rFonts w:ascii="仿宋_GB2312" w:hAnsi="仿宋" w:eastAsia="仿宋_GB2312"/>
          <w:sz w:val="28"/>
          <w:szCs w:val="32"/>
        </w:rPr>
      </w:pPr>
      <w:r>
        <w:rPr>
          <w:rFonts w:hint="eastAsia" w:ascii="仿宋_GB2312" w:hAnsi="仿宋" w:eastAsia="仿宋_GB2312"/>
          <w:sz w:val="28"/>
          <w:szCs w:val="32"/>
        </w:rPr>
        <w:t>1、供应商具备环境噪声自动监测设备自主研发生产及采样能力，且具备开展噪声声纹识别的相关软硬件、人员、设备、经验等能力；</w:t>
      </w:r>
    </w:p>
    <w:p>
      <w:pPr>
        <w:adjustRightInd w:val="0"/>
        <w:snapToGrid w:val="0"/>
        <w:spacing w:line="590" w:lineRule="exact"/>
        <w:ind w:firstLine="700" w:firstLineChars="250"/>
        <w:rPr>
          <w:rFonts w:ascii="仿宋_GB2312" w:hAnsi="仿宋" w:eastAsia="仿宋_GB2312"/>
          <w:sz w:val="28"/>
          <w:szCs w:val="32"/>
        </w:rPr>
      </w:pPr>
      <w:r>
        <w:rPr>
          <w:rFonts w:hint="eastAsia" w:ascii="仿宋_GB2312" w:hAnsi="仿宋" w:eastAsia="仿宋_GB2312"/>
          <w:sz w:val="28"/>
          <w:szCs w:val="32"/>
        </w:rPr>
        <w:t>2、自主研发的自动监测设备产品具有中国环境保护产品认证证书、相关专利和软件著作权及相关荣誉认证；</w:t>
      </w:r>
    </w:p>
    <w:p>
      <w:pPr>
        <w:ind w:firstLine="700" w:firstLineChars="250"/>
        <w:rPr>
          <w:rFonts w:ascii="仿宋_GB2312" w:hAnsi="仿宋" w:eastAsia="仿宋_GB2312"/>
          <w:sz w:val="28"/>
          <w:szCs w:val="32"/>
        </w:rPr>
      </w:pPr>
      <w:r>
        <w:rPr>
          <w:rFonts w:hint="eastAsia" w:ascii="仿宋_GB2312" w:hAnsi="仿宋" w:eastAsia="仿宋_GB2312"/>
          <w:sz w:val="28"/>
          <w:szCs w:val="32"/>
        </w:rPr>
        <w:t>3、具备自主研发的声源智能识别产品，</w:t>
      </w:r>
      <w:r>
        <w:rPr>
          <w:rFonts w:hint="eastAsia" w:eastAsia="仿宋_GB2312"/>
          <w:sz w:val="28"/>
          <w:szCs w:val="32"/>
        </w:rPr>
        <w:t>并已</w:t>
      </w:r>
      <w:r>
        <w:rPr>
          <w:rFonts w:hint="eastAsia" w:ascii="仿宋_GB2312" w:hAnsi="仿宋" w:eastAsia="仿宋_GB2312"/>
          <w:sz w:val="28"/>
          <w:szCs w:val="32"/>
        </w:rPr>
        <w:t>建立自主的环境声源数据库及自动识别典型声源的AI模型；</w:t>
      </w:r>
    </w:p>
    <w:p>
      <w:pPr>
        <w:ind w:firstLine="700" w:firstLineChars="250"/>
        <w:rPr>
          <w:rFonts w:eastAsia="仿宋_GB2312"/>
          <w:sz w:val="28"/>
          <w:szCs w:val="32"/>
        </w:rPr>
      </w:pPr>
      <w:r>
        <w:rPr>
          <w:rFonts w:hint="eastAsia" w:ascii="仿宋_GB2312" w:hAnsi="仿宋" w:eastAsia="仿宋_GB2312"/>
          <w:sz w:val="28"/>
          <w:szCs w:val="32"/>
        </w:rPr>
        <w:t>4、具备成熟的自动监测站点建设及运维经验，在同级别城市开展过相关的噪声溯源声纹识别分析研究工作</w:t>
      </w:r>
      <w:r>
        <w:rPr>
          <w:rFonts w:hint="eastAsia" w:eastAsia="仿宋_GB2312"/>
          <w:sz w:val="28"/>
          <w:szCs w:val="32"/>
        </w:rPr>
        <w:t>。</w:t>
      </w:r>
    </w:p>
    <w:p>
      <w:pPr>
        <w:adjustRightInd w:val="0"/>
        <w:snapToGrid w:val="0"/>
        <w:spacing w:line="590" w:lineRule="exact"/>
        <w:ind w:firstLine="560" w:firstLineChars="200"/>
        <w:rPr>
          <w:rFonts w:ascii="仿宋_GB2312" w:hAnsi="仿宋" w:eastAsia="仿宋_GB2312"/>
          <w:b/>
          <w:sz w:val="28"/>
          <w:szCs w:val="32"/>
        </w:rPr>
      </w:pPr>
    </w:p>
    <w:p>
      <w:pPr>
        <w:adjustRightInd w:val="0"/>
        <w:snapToGrid w:val="0"/>
        <w:spacing w:line="590" w:lineRule="exact"/>
        <w:rPr>
          <w:rFonts w:ascii="宋体" w:hAnsi="宋体" w:eastAsia="宋体"/>
          <w:b/>
          <w:sz w:val="32"/>
        </w:rPr>
      </w:pPr>
      <w:r>
        <w:rPr>
          <w:rFonts w:hint="eastAsia" w:ascii="宋体" w:hAnsi="宋体" w:eastAsia="宋体"/>
          <w:b/>
          <w:sz w:val="32"/>
        </w:rPr>
        <w:t>二、技术要求</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包组一：</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（一）服务内容</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sz w:val="28"/>
          <w:szCs w:val="32"/>
        </w:rPr>
        <w:t>对200个广州市城市区域声环境网络点位和400个道路交通声环境普查点位按照《环境噪声监测技术规范 城市声环境常规监测》（HJ640-2012）规范要求开展1次现场噪声监测，其中区域声环境监测点位开展昼间监测，道路交通声环境监测点位开展昼（夜）间监测。以上监测做好现场监测记录，出具正式监测报告，协助开展后期数据处理。</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1.现场监测</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区域声环境监测每个监测点位测量10min的等效连续A声级Leq（简称：等效声级），记录累积百分声级L</w:t>
      </w:r>
      <w:r>
        <w:rPr>
          <w:rFonts w:hint="eastAsia" w:ascii="仿宋_GB2312" w:hAnsi="仿宋" w:eastAsia="仿宋_GB2312"/>
          <w:sz w:val="28"/>
          <w:szCs w:val="32"/>
          <w:vertAlign w:val="subscript"/>
        </w:rPr>
        <w:t>10</w:t>
      </w:r>
      <w:r>
        <w:rPr>
          <w:rFonts w:hint="eastAsia" w:ascii="仿宋_GB2312" w:hAnsi="仿宋" w:eastAsia="仿宋_GB2312"/>
          <w:sz w:val="28"/>
          <w:szCs w:val="32"/>
        </w:rPr>
        <w:t>、L</w:t>
      </w:r>
      <w:r>
        <w:rPr>
          <w:rFonts w:hint="eastAsia" w:ascii="仿宋_GB2312" w:hAnsi="仿宋" w:eastAsia="仿宋_GB2312"/>
          <w:sz w:val="28"/>
          <w:szCs w:val="32"/>
          <w:vertAlign w:val="subscript"/>
        </w:rPr>
        <w:t>50</w:t>
      </w:r>
      <w:r>
        <w:rPr>
          <w:rFonts w:hint="eastAsia" w:ascii="仿宋_GB2312" w:hAnsi="仿宋" w:eastAsia="仿宋_GB2312"/>
          <w:sz w:val="28"/>
          <w:szCs w:val="32"/>
        </w:rPr>
        <w:t>、L</w:t>
      </w:r>
      <w:r>
        <w:rPr>
          <w:rFonts w:hint="eastAsia" w:ascii="仿宋_GB2312" w:hAnsi="仿宋" w:eastAsia="仿宋_GB2312"/>
          <w:sz w:val="28"/>
          <w:szCs w:val="32"/>
          <w:vertAlign w:val="subscript"/>
        </w:rPr>
        <w:t>90</w:t>
      </w:r>
      <w:r>
        <w:rPr>
          <w:rFonts w:hint="eastAsia" w:ascii="仿宋_GB2312" w:hAnsi="仿宋" w:eastAsia="仿宋_GB2312"/>
          <w:sz w:val="28"/>
          <w:szCs w:val="32"/>
        </w:rPr>
        <w:t>、Lmax、Lmin和标准偏差（SD）；道路交通声环境监测每个监测点位测量20min等效声级Leq，记录累积百分声级L</w:t>
      </w:r>
      <w:r>
        <w:rPr>
          <w:rFonts w:hint="eastAsia" w:ascii="仿宋_GB2312" w:hAnsi="仿宋" w:eastAsia="仿宋_GB2312"/>
          <w:sz w:val="28"/>
          <w:szCs w:val="32"/>
          <w:vertAlign w:val="subscript"/>
        </w:rPr>
        <w:t>10</w:t>
      </w:r>
      <w:r>
        <w:rPr>
          <w:rFonts w:hint="eastAsia" w:ascii="仿宋_GB2312" w:hAnsi="仿宋" w:eastAsia="仿宋_GB2312"/>
          <w:sz w:val="28"/>
          <w:szCs w:val="32"/>
        </w:rPr>
        <w:t>、L</w:t>
      </w:r>
      <w:r>
        <w:rPr>
          <w:rFonts w:hint="eastAsia" w:ascii="仿宋_GB2312" w:hAnsi="仿宋" w:eastAsia="仿宋_GB2312"/>
          <w:sz w:val="28"/>
          <w:szCs w:val="32"/>
          <w:vertAlign w:val="subscript"/>
        </w:rPr>
        <w:t>50</w:t>
      </w:r>
      <w:r>
        <w:rPr>
          <w:rFonts w:hint="eastAsia" w:ascii="仿宋_GB2312" w:hAnsi="仿宋" w:eastAsia="仿宋_GB2312"/>
          <w:sz w:val="28"/>
          <w:szCs w:val="32"/>
        </w:rPr>
        <w:t>、L</w:t>
      </w:r>
      <w:r>
        <w:rPr>
          <w:rFonts w:hint="eastAsia" w:ascii="仿宋_GB2312" w:hAnsi="仿宋" w:eastAsia="仿宋_GB2312"/>
          <w:sz w:val="28"/>
          <w:szCs w:val="32"/>
          <w:vertAlign w:val="subscript"/>
        </w:rPr>
        <w:t>90</w:t>
      </w:r>
      <w:r>
        <w:rPr>
          <w:rFonts w:hint="eastAsia" w:ascii="仿宋_GB2312" w:hAnsi="仿宋" w:eastAsia="仿宋_GB2312"/>
          <w:sz w:val="28"/>
          <w:szCs w:val="32"/>
        </w:rPr>
        <w:t>、Lmax、Lmin和标准偏差（SD），分类（大型车、中小型车）记录车流量。其他监测要求按《环境噪声监测技术规范 城市声环境常规监测》（HJ640-2012）执行。</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2.现场记录</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每次现场监测需要提供现场监测记录和现场照片作为监测凭证。现场监测记录包括监测点位、监测日期和时间、监测人员、监测结果、监测仪器型号编号和校准记录、特殊情况备注等；现场照片包括监测点位全方位照片（包含经纬度、日期时间）及视频、监测前仪器校准照片、监测采样全过程照片等。</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3.监测报告</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各噪声监测点位现场监测结果均需出具正式监测报告（监测当天所有点位监测结果可合并出具报告，区域声环境监测和道路交通声环境监测需分成两份监测报告出具）。</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3.数据处理</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全部监测点位完成监测并出具正式报告后，需协助汇总统计所有噪声监测点位监测结果，形成汇总表格。</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（二）服务成果</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1.各噪声监测点位的现场监测记录和监测照片。</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2.各噪声监测点位监测结果的正式报告。</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3.各噪声监测点位监测结果的汇总表格。</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（三）服务技术要求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1.标准规范要求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监测全过程应符合《环境噪声监测技术规范 城市声环境常规监测》（HJ640-2012）和《声环境质量标准》（GB3096-2008）的相关要求。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2.监测方法要求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按《环境噪声监测技术规范 城市声环境常规监测》（HJ640-2012）要求开展现场监测，测量仪器精度、气象条件和采样方式等应符合《声环境质量标准》（GB3096-2008）的相应要求。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3.质控要求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（1）噪声测量仪器在每次测量前后应在现场用声校准器进行声校准，其前、后校准示值偏差不应大于 0.5dB，否则测量无效。测量需使用延伸电缆时，应将测量仪器与延伸电缆一起进行校准。</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（2）监测点位布设按《环境噪声监测技术规范 城市声环境常规监测》（HJ640-2012）执行，不应为降低测量值人为选择测量点位。</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3）区域声环境监测和道路交通声环境监测应在规定时间内进行，不得挑选监测时间或随意按暂停键。区域声环境监测过程中，凡是自然社会可能出现的声音(如:叫卖声、说话声、小孩哭声、鸣笛声等)，均不应予以排除。</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4.进度要求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（1）每个月8日前提交上个月现场监测记录、监测照片、正式结果报告（电子版）；</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（2）合同规定时间内完成全部监测结果的统计和专家评审。</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（四）服务人员要求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1.人员配置</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团队人数不少于</w:t>
      </w:r>
      <w:r>
        <w:rPr>
          <w:rFonts w:ascii="仿宋_GB2312" w:hAnsi="仿宋" w:eastAsia="仿宋_GB2312"/>
          <w:sz w:val="28"/>
          <w:szCs w:val="32"/>
        </w:rPr>
        <w:t>10</w:t>
      </w:r>
      <w:r>
        <w:rPr>
          <w:rFonts w:hint="eastAsia" w:ascii="仿宋_GB2312" w:hAnsi="仿宋" w:eastAsia="仿宋_GB2312"/>
          <w:sz w:val="28"/>
          <w:szCs w:val="32"/>
        </w:rPr>
        <w:t>人；</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2.人员资质</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有相关学历和相关专业背景；具有</w:t>
      </w:r>
      <w:r>
        <w:rPr>
          <w:rFonts w:ascii="仿宋_GB2312" w:hAnsi="仿宋" w:eastAsia="仿宋_GB2312"/>
          <w:sz w:val="28"/>
          <w:szCs w:val="32"/>
        </w:rPr>
        <w:t>工程师</w:t>
      </w:r>
      <w:r>
        <w:rPr>
          <w:rFonts w:hint="eastAsia" w:ascii="仿宋_GB2312" w:hAnsi="仿宋" w:eastAsia="仿宋_GB2312"/>
          <w:sz w:val="28"/>
          <w:szCs w:val="32"/>
        </w:rPr>
        <w:t>2名</w:t>
      </w:r>
      <w:r>
        <w:rPr>
          <w:rFonts w:ascii="仿宋_GB2312" w:hAnsi="仿宋" w:eastAsia="仿宋_GB2312"/>
          <w:sz w:val="28"/>
          <w:szCs w:val="32"/>
        </w:rPr>
        <w:t>以上；</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3.综合能力要求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熟悉该项目现场监测和报告编制等专业技术，</w:t>
      </w:r>
      <w:r>
        <w:rPr>
          <w:rFonts w:ascii="仿宋_GB2312" w:hAnsi="仿宋" w:eastAsia="仿宋_GB2312"/>
          <w:sz w:val="28"/>
          <w:szCs w:val="32"/>
        </w:rPr>
        <w:t>有</w:t>
      </w:r>
      <w:r>
        <w:rPr>
          <w:rFonts w:hint="eastAsia" w:ascii="仿宋_GB2312" w:hAnsi="仿宋" w:eastAsia="仿宋_GB2312"/>
          <w:sz w:val="28"/>
          <w:szCs w:val="32"/>
        </w:rPr>
        <w:t>开展过同类型业务服务的团队优先。监测人员需持证上岗，上岗证必须包含《环境噪声监测技术规范 城市声环境常规监测》（HJ640-2012）</w:t>
      </w:r>
      <w:r>
        <w:rPr>
          <w:rFonts w:hint="eastAsia" w:ascii="仿宋" w:hAnsi="仿宋" w:eastAsia="仿宋"/>
          <w:sz w:val="28"/>
        </w:rPr>
        <w:t>现场噪声监测项目，</w:t>
      </w:r>
      <w:r>
        <w:rPr>
          <w:rFonts w:hint="eastAsia" w:ascii="仿宋_GB2312" w:hAnsi="仿宋" w:eastAsia="仿宋_GB2312"/>
          <w:sz w:val="28"/>
          <w:szCs w:val="32"/>
        </w:rPr>
        <w:t>监测时现场必须有两名或以上持证人员开展现场监测工作。</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包组二：</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（一）服务内容</w:t>
      </w:r>
    </w:p>
    <w:p>
      <w:pPr>
        <w:adjustRightInd w:val="0"/>
        <w:snapToGrid w:val="0"/>
        <w:spacing w:line="590" w:lineRule="exact"/>
        <w:ind w:firstLine="560" w:firstLineChars="200"/>
        <w:rPr>
          <w:rFonts w:ascii="仿宋_GB2312" w:hAnsi="仿宋" w:eastAsia="仿宋_GB2312"/>
          <w:sz w:val="28"/>
          <w:szCs w:val="32"/>
        </w:rPr>
      </w:pPr>
      <w:r>
        <w:rPr>
          <w:rFonts w:ascii="仿宋_GB2312" w:hAnsi="仿宋" w:eastAsia="仿宋_GB2312"/>
          <w:sz w:val="28"/>
          <w:szCs w:val="32"/>
        </w:rPr>
        <w:t>1、</w:t>
      </w:r>
      <w:r>
        <w:rPr>
          <w:rFonts w:hint="eastAsia" w:ascii="仿宋_GB2312" w:hAnsi="仿宋" w:eastAsia="仿宋_GB2312"/>
          <w:sz w:val="28"/>
          <w:szCs w:val="32"/>
        </w:rPr>
        <w:t>对广州市内20个重点网格噪声点位开展摸查溯源与声纹识别研究工作，其中14个点位进行24小时自动监测</w:t>
      </w:r>
      <w:r>
        <w:rPr>
          <w:rFonts w:hint="eastAsia" w:eastAsia="仿宋_GB2312"/>
          <w:sz w:val="28"/>
          <w:szCs w:val="32"/>
        </w:rPr>
        <w:t>及噪声超标录音</w:t>
      </w:r>
      <w:r>
        <w:rPr>
          <w:rFonts w:hint="eastAsia" w:ascii="仿宋_GB2312" w:hAnsi="仿宋" w:eastAsia="仿宋_GB2312"/>
          <w:sz w:val="28"/>
          <w:szCs w:val="32"/>
        </w:rPr>
        <w:t>，每个点位连续监测5天。在指定时间完成环境噪声自动采样</w:t>
      </w:r>
      <w:r>
        <w:rPr>
          <w:rFonts w:hint="eastAsia" w:eastAsia="仿宋_GB2312"/>
          <w:sz w:val="28"/>
          <w:szCs w:val="32"/>
        </w:rPr>
        <w:t>及超标录音</w:t>
      </w:r>
      <w:r>
        <w:rPr>
          <w:rFonts w:hint="eastAsia" w:ascii="仿宋_GB2312" w:hAnsi="仿宋" w:eastAsia="仿宋_GB2312"/>
          <w:sz w:val="28"/>
          <w:szCs w:val="32"/>
        </w:rPr>
        <w:t>，提交监测溯源分析报告，协助开展后期数据处理。</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2、开展</w:t>
      </w:r>
      <w:r>
        <w:rPr>
          <w:rFonts w:ascii="仿宋_GB2312" w:hAnsi="仿宋" w:eastAsia="仿宋_GB2312"/>
          <w:sz w:val="28"/>
          <w:szCs w:val="32"/>
        </w:rPr>
        <w:t>20</w:t>
      </w:r>
      <w:r>
        <w:rPr>
          <w:rFonts w:hint="eastAsia" w:ascii="仿宋_GB2312" w:hAnsi="仿宋" w:eastAsia="仿宋_GB2312"/>
          <w:sz w:val="28"/>
          <w:szCs w:val="32"/>
        </w:rPr>
        <w:t>个点位</w:t>
      </w:r>
      <w:r>
        <w:rPr>
          <w:rFonts w:ascii="仿宋_GB2312" w:hAnsi="仿宋" w:eastAsia="仿宋_GB2312"/>
          <w:sz w:val="28"/>
          <w:szCs w:val="32"/>
        </w:rPr>
        <w:t>5</w:t>
      </w:r>
      <w:r>
        <w:rPr>
          <w:rFonts w:hint="eastAsia" w:ascii="仿宋" w:hAnsi="仿宋" w:eastAsia="仿宋"/>
          <w:sz w:val="28"/>
          <w:szCs w:val="32"/>
        </w:rPr>
        <w:t>×</w:t>
      </w:r>
      <w:r>
        <w:rPr>
          <w:rFonts w:hint="eastAsia" w:ascii="仿宋_GB2312" w:hAnsi="仿宋" w:eastAsia="仿宋_GB2312"/>
          <w:sz w:val="28"/>
          <w:szCs w:val="32"/>
        </w:rPr>
        <w:t>24小时监测的噪声超标录音声纹识别、至少3个点位的2</w:t>
      </w:r>
      <w:r>
        <w:rPr>
          <w:rFonts w:hint="eastAsia" w:ascii="仿宋" w:hAnsi="仿宋" w:eastAsia="仿宋"/>
          <w:sz w:val="28"/>
          <w:szCs w:val="32"/>
        </w:rPr>
        <w:t>×</w:t>
      </w:r>
      <w:r>
        <w:rPr>
          <w:rFonts w:ascii="仿宋_GB2312" w:hAnsi="仿宋" w:eastAsia="仿宋_GB2312"/>
          <w:sz w:val="28"/>
          <w:szCs w:val="32"/>
        </w:rPr>
        <w:t>24</w:t>
      </w:r>
      <w:r>
        <w:rPr>
          <w:rFonts w:hint="eastAsia" w:ascii="仿宋_GB2312" w:hAnsi="仿宋" w:eastAsia="仿宋_GB2312"/>
          <w:sz w:val="28"/>
          <w:szCs w:val="32"/>
        </w:rPr>
        <w:t>小时的声纹识别，提交声纹识别分析报告。</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（二）服务成果</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完成20个点位的摸查溯源与声纹识别研究工作，</w:t>
      </w:r>
      <w:r>
        <w:rPr>
          <w:rFonts w:ascii="仿宋_GB2312" w:hAnsi="仿宋" w:eastAsia="仿宋_GB2312"/>
          <w:sz w:val="28"/>
          <w:szCs w:val="32"/>
        </w:rPr>
        <w:t>20</w:t>
      </w:r>
      <w:r>
        <w:rPr>
          <w:rFonts w:hint="eastAsia" w:ascii="仿宋_GB2312" w:hAnsi="仿宋" w:eastAsia="仿宋_GB2312"/>
          <w:sz w:val="28"/>
          <w:szCs w:val="32"/>
        </w:rPr>
        <w:t>个点位的采样及噪声超标录音工作，开展至少3个点位的2</w:t>
      </w:r>
      <w:r>
        <w:rPr>
          <w:rFonts w:hint="eastAsia" w:ascii="仿宋" w:hAnsi="仿宋" w:eastAsia="仿宋"/>
          <w:sz w:val="28"/>
          <w:szCs w:val="32"/>
        </w:rPr>
        <w:t>×</w:t>
      </w:r>
      <w:r>
        <w:rPr>
          <w:rFonts w:ascii="仿宋_GB2312" w:hAnsi="仿宋" w:eastAsia="仿宋_GB2312"/>
          <w:sz w:val="28"/>
          <w:szCs w:val="32"/>
        </w:rPr>
        <w:t>24</w:t>
      </w:r>
      <w:r>
        <w:rPr>
          <w:rFonts w:hint="eastAsia" w:ascii="仿宋_GB2312" w:hAnsi="仿宋" w:eastAsia="仿宋_GB2312"/>
          <w:sz w:val="28"/>
          <w:szCs w:val="32"/>
        </w:rPr>
        <w:t>小时以及20个点位噪声超标录音的声纹识别，提交监测溯源分析和声纹识别报告。</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（三）服务技术要求</w:t>
      </w:r>
    </w:p>
    <w:p>
      <w:pPr>
        <w:adjustRightInd w:val="0"/>
        <w:snapToGrid w:val="0"/>
        <w:spacing w:line="590" w:lineRule="exact"/>
        <w:ind w:firstLine="560" w:firstLineChars="200"/>
        <w:rPr>
          <w:rFonts w:ascii="黑体" w:hAnsi="黑体" w:eastAsia="黑体"/>
          <w:sz w:val="28"/>
          <w:szCs w:val="32"/>
        </w:rPr>
      </w:pPr>
      <w:r>
        <w:rPr>
          <w:rFonts w:hint="eastAsia" w:ascii="仿宋_GB2312" w:hAnsi="仿宋" w:eastAsia="仿宋_GB2312"/>
          <w:sz w:val="28"/>
          <w:szCs w:val="32"/>
        </w:rPr>
        <w:t>1</w:t>
      </w:r>
      <w:r>
        <w:rPr>
          <w:rFonts w:hint="eastAsia" w:eastAsia="仿宋_GB2312"/>
          <w:sz w:val="28"/>
          <w:szCs w:val="32"/>
        </w:rPr>
        <w:t>、</w:t>
      </w:r>
      <w:r>
        <w:rPr>
          <w:rFonts w:hint="eastAsia" w:ascii="仿宋_GB2312" w:hAnsi="仿宋" w:eastAsia="仿宋_GB2312"/>
          <w:sz w:val="28"/>
          <w:szCs w:val="32"/>
        </w:rPr>
        <w:t>监测点位、监测要求</w:t>
      </w:r>
    </w:p>
    <w:p>
      <w:pPr>
        <w:adjustRightInd w:val="0"/>
        <w:snapToGrid w:val="0"/>
        <w:spacing w:line="590" w:lineRule="exact"/>
        <w:ind w:firstLine="560" w:firstLineChars="200"/>
        <w:jc w:val="center"/>
        <w:rPr>
          <w:rFonts w:ascii="仿宋_GB2312" w:hAnsi="仿宋" w:eastAsia="仿宋_GB2312"/>
          <w:sz w:val="28"/>
          <w:szCs w:val="32"/>
        </w:rPr>
      </w:pPr>
      <w:r>
        <w:rPr>
          <w:rFonts w:hint="eastAsia" w:ascii="仿宋_GB2312" w:hAnsi="仿宋" w:eastAsia="仿宋_GB2312"/>
          <w:sz w:val="28"/>
          <w:szCs w:val="32"/>
        </w:rPr>
        <w:t>表2   广州市噪声常规监测重点网格点位摸查溯源与声纹识别研究工作项目监测点位及要求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536"/>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序号</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监测点位</w:t>
            </w:r>
          </w:p>
        </w:tc>
        <w:tc>
          <w:tcPr>
            <w:tcW w:w="3169"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生态环境部华南督察局</w:t>
            </w:r>
          </w:p>
        </w:tc>
        <w:tc>
          <w:tcPr>
            <w:tcW w:w="3169" w:type="dxa"/>
            <w:vMerge w:val="restart"/>
            <w:vAlign w:val="center"/>
          </w:tcPr>
          <w:p>
            <w:pPr>
              <w:adjustRightInd w:val="0"/>
              <w:snapToGrid w:val="0"/>
              <w:spacing w:line="240" w:lineRule="atLeast"/>
              <w:jc w:val="center"/>
              <w:rPr>
                <w:rFonts w:eastAsia="仿宋_GB2312"/>
                <w:sz w:val="24"/>
                <w:szCs w:val="24"/>
              </w:rPr>
            </w:pPr>
            <w:r>
              <w:rPr>
                <w:rFonts w:hint="eastAsia" w:ascii="仿宋_GB2312" w:hAnsi="仿宋" w:eastAsia="仿宋_GB2312"/>
                <w:sz w:val="24"/>
                <w:szCs w:val="24"/>
              </w:rPr>
              <w:t>点位摸查溯源</w:t>
            </w:r>
          </w:p>
          <w:p>
            <w:pPr>
              <w:adjustRightInd w:val="0"/>
              <w:snapToGrid w:val="0"/>
              <w:spacing w:line="240" w:lineRule="atLeast"/>
              <w:jc w:val="center"/>
              <w:rPr>
                <w:rFonts w:eastAsia="仿宋_GB2312"/>
                <w:sz w:val="24"/>
                <w:szCs w:val="24"/>
              </w:rPr>
            </w:pPr>
            <w:r>
              <w:rPr>
                <w:rFonts w:hint="eastAsia" w:ascii="仿宋_GB2312" w:hAnsi="仿宋" w:eastAsia="仿宋_GB2312"/>
                <w:sz w:val="24"/>
                <w:szCs w:val="24"/>
              </w:rPr>
              <w:t>5</w:t>
            </w:r>
            <w:r>
              <w:rPr>
                <w:rFonts w:hint="eastAsia" w:ascii="仿宋" w:hAnsi="仿宋" w:eastAsia="仿宋"/>
                <w:sz w:val="28"/>
                <w:szCs w:val="32"/>
              </w:rPr>
              <w:t>×</w:t>
            </w:r>
            <w:r>
              <w:rPr>
                <w:rFonts w:hint="eastAsia" w:ascii="仿宋_GB2312" w:hAnsi="仿宋" w:eastAsia="仿宋_GB2312"/>
                <w:sz w:val="24"/>
                <w:szCs w:val="24"/>
              </w:rPr>
              <w:t>24小时自动监测</w:t>
            </w:r>
          </w:p>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噪声超标录音</w:t>
            </w:r>
          </w:p>
          <w:p>
            <w:pPr>
              <w:adjustRightInd w:val="0"/>
              <w:snapToGrid w:val="0"/>
              <w:spacing w:line="240" w:lineRule="atLeast"/>
              <w:jc w:val="center"/>
              <w:rPr>
                <w:rFonts w:eastAsia="仿宋_GB2312"/>
                <w:sz w:val="24"/>
                <w:szCs w:val="24"/>
              </w:rPr>
            </w:pPr>
            <w:r>
              <w:rPr>
                <w:rFonts w:hint="eastAsia" w:ascii="仿宋_GB2312" w:hAnsi="仿宋" w:eastAsia="仿宋_GB2312"/>
                <w:sz w:val="24"/>
                <w:szCs w:val="24"/>
              </w:rPr>
              <w:t>声纹识别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2</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广州市荔湾区西村街道办事处</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3</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碧桂园豪园</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4</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广州市儿童公园</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5</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蕉门公园</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6</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维也纳酒店（广州花都狮岭皮革城店）</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7</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广东金融学院</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8</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海珠区党委学校</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9</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珠江宾馆</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10</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南航碧桂园</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11</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荔城街第三中学</w:t>
            </w:r>
          </w:p>
        </w:tc>
        <w:tc>
          <w:tcPr>
            <w:tcW w:w="3169" w:type="dxa"/>
            <w:vMerge w:val="continue"/>
            <w:vAlign w:val="center"/>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12</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奥园养生广场</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13</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广州市从化大江路公租房物业管理中心</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14</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光明软件楼北楼</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15</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广州市海珠区环境监测站</w:t>
            </w:r>
          </w:p>
        </w:tc>
        <w:tc>
          <w:tcPr>
            <w:tcW w:w="3169" w:type="dxa"/>
            <w:vMerge w:val="restart"/>
            <w:vAlign w:val="center"/>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点位摸查溯源</w:t>
            </w:r>
          </w:p>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噪声超标录音</w:t>
            </w:r>
          </w:p>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声纹识别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16</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广州市花都净水有限公司官网分公司</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17</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广州科学城会议中心</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18</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南沙区生态环境局第七环保所</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19</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美丽豪酒店</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20</w:t>
            </w:r>
          </w:p>
        </w:tc>
        <w:tc>
          <w:tcPr>
            <w:tcW w:w="4536" w:type="dxa"/>
          </w:tcPr>
          <w:p>
            <w:pPr>
              <w:adjustRightInd w:val="0"/>
              <w:snapToGrid w:val="0"/>
              <w:spacing w:line="240" w:lineRule="atLeast"/>
              <w:jc w:val="center"/>
              <w:rPr>
                <w:rFonts w:ascii="仿宋_GB2312" w:hAnsi="仿宋" w:eastAsia="仿宋_GB2312"/>
                <w:sz w:val="24"/>
                <w:szCs w:val="24"/>
              </w:rPr>
            </w:pPr>
            <w:r>
              <w:rPr>
                <w:rFonts w:hint="eastAsia" w:ascii="仿宋_GB2312" w:hAnsi="仿宋" w:eastAsia="仿宋_GB2312"/>
                <w:sz w:val="24"/>
                <w:szCs w:val="24"/>
              </w:rPr>
              <w:t>东风西路湖天宾馆</w:t>
            </w:r>
          </w:p>
        </w:tc>
        <w:tc>
          <w:tcPr>
            <w:tcW w:w="3169" w:type="dxa"/>
            <w:vMerge w:val="continue"/>
          </w:tcPr>
          <w:p>
            <w:pPr>
              <w:adjustRightInd w:val="0"/>
              <w:snapToGrid w:val="0"/>
              <w:spacing w:line="240" w:lineRule="atLeast"/>
              <w:jc w:val="center"/>
              <w:rPr>
                <w:rFonts w:ascii="仿宋_GB2312" w:hAnsi="仿宋" w:eastAsia="仿宋_GB2312"/>
                <w:sz w:val="24"/>
                <w:szCs w:val="24"/>
              </w:rPr>
            </w:pPr>
          </w:p>
        </w:tc>
      </w:tr>
    </w:tbl>
    <w:p>
      <w:pPr>
        <w:adjustRightInd w:val="0"/>
        <w:snapToGrid w:val="0"/>
        <w:spacing w:line="240" w:lineRule="atLeast"/>
        <w:rPr>
          <w:rFonts w:ascii="仿宋_GB2312" w:hAnsi="仿宋" w:eastAsia="仿宋_GB2312"/>
          <w:sz w:val="28"/>
          <w:szCs w:val="32"/>
        </w:rPr>
      </w:pPr>
    </w:p>
    <w:p>
      <w:pPr>
        <w:adjustRightInd w:val="0"/>
        <w:snapToGrid w:val="0"/>
        <w:spacing w:line="590" w:lineRule="exact"/>
        <w:ind w:firstLine="560" w:firstLineChars="200"/>
        <w:rPr>
          <w:rFonts w:ascii="仿宋" w:hAnsi="仿宋" w:eastAsia="仿宋"/>
          <w:sz w:val="28"/>
        </w:rPr>
      </w:pPr>
      <w:r>
        <w:rPr>
          <w:rFonts w:hint="eastAsia" w:ascii="仿宋" w:hAnsi="仿宋" w:eastAsia="仿宋"/>
          <w:sz w:val="28"/>
        </w:rPr>
        <w:t>2、设备参数要求</w:t>
      </w:r>
    </w:p>
    <w:p>
      <w:pPr>
        <w:adjustRightInd w:val="0"/>
        <w:snapToGrid w:val="0"/>
        <w:spacing w:line="590" w:lineRule="exact"/>
        <w:ind w:firstLine="560" w:firstLineChars="200"/>
        <w:rPr>
          <w:rFonts w:ascii="仿宋" w:hAnsi="仿宋" w:eastAsia="仿宋"/>
          <w:sz w:val="28"/>
        </w:rPr>
      </w:pPr>
      <w:r>
        <w:rPr>
          <w:rFonts w:hint="eastAsia" w:ascii="仿宋" w:hAnsi="仿宋" w:eastAsia="仿宋"/>
          <w:sz w:val="28"/>
        </w:rPr>
        <w:t>（1）自动监测仪技术指标应满足《环境噪声自动监测系统技术要求》（HJ 907-2017）的相关要求，声学性能应符合《电声学 声级计 第1部分：规范》（GB/T3785.1-2010）中Ⅰ型仪器的要求。</w:t>
      </w:r>
    </w:p>
    <w:p>
      <w:pPr>
        <w:adjustRightInd w:val="0"/>
        <w:snapToGrid w:val="0"/>
        <w:spacing w:line="59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2</w:t>
      </w:r>
      <w:r>
        <w:rPr>
          <w:rFonts w:hint="eastAsia" w:ascii="仿宋" w:hAnsi="仿宋" w:eastAsia="仿宋"/>
          <w:sz w:val="28"/>
        </w:rPr>
        <w:t>）自动监测仪对噪声采样频率应不小于48kHz，具备监测和上传每秒等效声级的功能。</w:t>
      </w:r>
    </w:p>
    <w:p>
      <w:pPr>
        <w:adjustRightInd w:val="0"/>
        <w:snapToGrid w:val="0"/>
        <w:spacing w:line="59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3</w:t>
      </w:r>
      <w:r>
        <w:rPr>
          <w:rFonts w:hint="eastAsia" w:ascii="仿宋" w:hAnsi="仿宋" w:eastAsia="仿宋"/>
          <w:sz w:val="28"/>
        </w:rPr>
        <w:t>）自动监测仪应具备超标录音及远程回放功能。</w:t>
      </w:r>
    </w:p>
    <w:p>
      <w:pPr>
        <w:adjustRightInd w:val="0"/>
        <w:snapToGrid w:val="0"/>
        <w:spacing w:line="59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4</w:t>
      </w:r>
      <w:r>
        <w:rPr>
          <w:rFonts w:hint="eastAsia" w:ascii="仿宋" w:hAnsi="仿宋" w:eastAsia="仿宋"/>
          <w:sz w:val="28"/>
        </w:rPr>
        <w:t>）根据天气情况选配气象监测单元，具备标记分钟风速、分钟降水等信息的功能。</w:t>
      </w:r>
    </w:p>
    <w:p>
      <w:pPr>
        <w:ind w:firstLine="560" w:firstLineChars="200"/>
      </w:pPr>
      <w:r>
        <w:rPr>
          <w:rFonts w:ascii="仿宋" w:hAnsi="仿宋" w:eastAsia="仿宋"/>
          <w:sz w:val="28"/>
        </w:rPr>
        <w:t>（5）</w:t>
      </w:r>
      <w:r>
        <w:rPr>
          <w:rFonts w:hint="eastAsia" w:ascii="仿宋" w:hAnsi="仿宋" w:eastAsia="仿宋"/>
          <w:sz w:val="28"/>
        </w:rPr>
        <w:t>声纹织别设备典型自然声识别准确度达到80%以上，并通过第三方检测。</w:t>
      </w:r>
    </w:p>
    <w:p>
      <w:pPr>
        <w:adjustRightInd w:val="0"/>
        <w:snapToGrid w:val="0"/>
        <w:spacing w:line="590" w:lineRule="exact"/>
        <w:ind w:firstLine="560" w:firstLineChars="200"/>
        <w:rPr>
          <w:rFonts w:ascii="仿宋" w:hAnsi="仿宋" w:eastAsia="仿宋"/>
          <w:sz w:val="28"/>
        </w:rPr>
      </w:pPr>
      <w:r>
        <w:rPr>
          <w:rFonts w:hint="eastAsia" w:ascii="仿宋" w:hAnsi="仿宋" w:eastAsia="仿宋"/>
          <w:sz w:val="28"/>
        </w:rPr>
        <w:t>3、质控要求</w:t>
      </w:r>
    </w:p>
    <w:p>
      <w:pPr>
        <w:adjustRightInd w:val="0"/>
        <w:snapToGrid w:val="0"/>
        <w:spacing w:line="590" w:lineRule="exact"/>
        <w:ind w:firstLine="560" w:firstLineChars="200"/>
        <w:rPr>
          <w:rFonts w:ascii="仿宋" w:hAnsi="仿宋" w:eastAsia="仿宋"/>
          <w:sz w:val="28"/>
        </w:rPr>
      </w:pPr>
      <w:r>
        <w:rPr>
          <w:rFonts w:hint="eastAsia" w:ascii="仿宋" w:hAnsi="仿宋" w:eastAsia="仿宋"/>
          <w:sz w:val="28"/>
        </w:rPr>
        <w:t>自动监测设备开展采样前必须校准并提供可溯源的仪器校准记录。</w:t>
      </w:r>
    </w:p>
    <w:p>
      <w:pPr>
        <w:adjustRightInd w:val="0"/>
        <w:snapToGrid w:val="0"/>
        <w:spacing w:line="590" w:lineRule="exact"/>
        <w:ind w:firstLine="560" w:firstLineChars="200"/>
        <w:rPr>
          <w:rFonts w:ascii="仿宋_GB2312" w:hAnsi="仿宋" w:eastAsia="仿宋_GB2312"/>
          <w:sz w:val="28"/>
          <w:szCs w:val="32"/>
        </w:rPr>
      </w:pPr>
      <w:r>
        <w:rPr>
          <w:rFonts w:hint="eastAsia" w:ascii="仿宋" w:hAnsi="仿宋" w:eastAsia="仿宋"/>
          <w:sz w:val="28"/>
        </w:rPr>
        <w:t>4、</w:t>
      </w:r>
      <w:r>
        <w:rPr>
          <w:rFonts w:hint="eastAsia" w:ascii="仿宋_GB2312" w:hAnsi="仿宋" w:eastAsia="仿宋_GB2312"/>
          <w:sz w:val="28"/>
          <w:szCs w:val="32"/>
        </w:rPr>
        <w:t>进度要求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（1）5月12日前完成20个点位的摸查溯源工作和14个点位的采样工作。</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（2）5月31日前完成监测溯源分析、声纹识别报告和专家评审。</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（四）服务人员要求</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w:t>
      </w:r>
      <w:r>
        <w:rPr>
          <w:rFonts w:hint="eastAsia" w:eastAsia="仿宋_GB2312"/>
          <w:sz w:val="28"/>
          <w:szCs w:val="32"/>
        </w:rPr>
        <w:t>、</w:t>
      </w:r>
      <w:r>
        <w:rPr>
          <w:rFonts w:hint="eastAsia" w:ascii="仿宋_GB2312" w:hAnsi="仿宋" w:eastAsia="仿宋_GB2312"/>
          <w:sz w:val="28"/>
          <w:szCs w:val="32"/>
        </w:rPr>
        <w:t>人员资质</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（1）技术负责人具有声学相关专业及博士或以上学历背景，具有正高级工程师。</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（2）团队成员不少于15人，高级工程师2名以上，持有噪声监测与治理相关培训合格证。</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2、综合能力要求（1）具有噪声自动监测研发专业技术团队，具备噪声自动监测与声源识别、设备研发设计能力；</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（2）熟悉该项目的数据处理和报告编制等专业技术，有开展过同类型业务经历，提供报告样例。</w:t>
      </w:r>
    </w:p>
    <w:p>
      <w:pPr>
        <w:adjustRightInd w:val="0"/>
        <w:snapToGrid w:val="0"/>
        <w:spacing w:line="590" w:lineRule="exact"/>
        <w:rPr>
          <w:rFonts w:ascii="宋体" w:hAnsi="宋体" w:eastAsia="宋体"/>
          <w:b/>
          <w:sz w:val="32"/>
        </w:rPr>
      </w:pPr>
      <w:r>
        <w:rPr>
          <w:rFonts w:hint="eastAsia" w:ascii="宋体" w:hAnsi="宋体" w:eastAsia="宋体"/>
          <w:b/>
          <w:sz w:val="32"/>
        </w:rPr>
        <w:t>三、商务要求</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包组一：</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（一）标的提供的时间</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合同签订后至2023年</w:t>
      </w:r>
      <w:r>
        <w:rPr>
          <w:rFonts w:ascii="仿宋_GB2312" w:hAnsi="仿宋" w:eastAsia="仿宋_GB2312"/>
          <w:sz w:val="28"/>
          <w:szCs w:val="32"/>
        </w:rPr>
        <w:t>6</w:t>
      </w:r>
      <w:r>
        <w:rPr>
          <w:rFonts w:hint="eastAsia" w:ascii="仿宋_GB2312" w:hAnsi="仿宋" w:eastAsia="仿宋_GB2312"/>
          <w:sz w:val="28"/>
          <w:szCs w:val="32"/>
        </w:rPr>
        <w:t>月30日。</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（二）合同履行期限</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2023年</w:t>
      </w:r>
      <w:r>
        <w:rPr>
          <w:rFonts w:ascii="仿宋_GB2312" w:hAnsi="仿宋" w:eastAsia="仿宋_GB2312"/>
          <w:sz w:val="28"/>
          <w:szCs w:val="32"/>
        </w:rPr>
        <w:t>6</w:t>
      </w:r>
      <w:r>
        <w:rPr>
          <w:rFonts w:hint="eastAsia" w:ascii="仿宋_GB2312" w:hAnsi="仿宋" w:eastAsia="仿宋_GB2312"/>
          <w:sz w:val="28"/>
          <w:szCs w:val="32"/>
        </w:rPr>
        <w:t>月30日前。</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（三）标的提供的地点</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sz w:val="28"/>
          <w:szCs w:val="32"/>
        </w:rPr>
        <w:t>广州市内采购人指定地点。</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（四）采购资金支付</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1期：合同签订并收到发票后，于5个工作日内支付合同总额50%的款项。</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2期：服务内容已完成，提交相关监测报告并收到发票后，于5个工作日内支付合同总额45%款项。</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3期：服务内容验收通过，并收到发票后，于5个工作日内支付合同总额5%款项。</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备注：中标方在合同服务期内开展现场监测工作中所产生的人工费、误餐费等费用，由中标方自行承担。</w:t>
      </w:r>
    </w:p>
    <w:p>
      <w:pPr>
        <w:adjustRightInd w:val="0"/>
        <w:snapToGrid w:val="0"/>
        <w:spacing w:line="590" w:lineRule="exact"/>
        <w:ind w:left="16" w:leftChars="8" w:firstLine="621" w:firstLineChars="222"/>
        <w:rPr>
          <w:rFonts w:ascii="仿宋_GB2312" w:hAnsi="仿宋" w:eastAsia="仿宋_GB2312"/>
          <w:b/>
          <w:sz w:val="28"/>
          <w:szCs w:val="32"/>
        </w:rPr>
      </w:pPr>
      <w:r>
        <w:rPr>
          <w:rFonts w:hint="eastAsia" w:ascii="仿宋_GB2312" w:hAnsi="仿宋" w:eastAsia="仿宋_GB2312"/>
          <w:b/>
          <w:sz w:val="28"/>
          <w:szCs w:val="32"/>
        </w:rPr>
        <w:t>（五）验收要求</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1.验收时间及方式</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提交全部服务成果并完成专家评审后，由中标方提出验收申请，由采购方7个工作日内启动验收。由采购方对现场监测记录、监测结果正式报告、监测结果汇总表等进行初步验收，组织聘请不少于3名专家对项目进行整体验收。</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2.验收标准：详见（二）服务成果。</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3.验收费用：本项目验收所产生的所有费用由中标方承担。</w:t>
      </w:r>
    </w:p>
    <w:p>
      <w:pPr>
        <w:adjustRightInd w:val="0"/>
        <w:snapToGrid w:val="0"/>
        <w:spacing w:line="590" w:lineRule="exact"/>
        <w:ind w:left="16" w:leftChars="8" w:firstLine="621" w:firstLineChars="222"/>
        <w:rPr>
          <w:rFonts w:ascii="仿宋_GB2312" w:hAnsi="仿宋" w:eastAsia="仿宋_GB2312"/>
          <w:b/>
          <w:sz w:val="28"/>
          <w:szCs w:val="32"/>
        </w:rPr>
      </w:pPr>
      <w:r>
        <w:rPr>
          <w:rFonts w:hint="eastAsia" w:ascii="仿宋_GB2312" w:hAnsi="仿宋" w:eastAsia="仿宋_GB2312"/>
          <w:b/>
          <w:sz w:val="28"/>
          <w:szCs w:val="32"/>
        </w:rPr>
        <w:t>（六）其他要求</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项目实施过程中，中标方必须采取措施对本项目的数据、技术文档等资料保密；项目完成后，未经采购方书面同意，中标方不得以任何形式运用、公布或向第三方透露相关监测结果、情况及相关技术文档资料。否则，由于中标方过错导致上述信息泄密的，中标方必须承担一切责任。</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包组二：</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（一）标的提供的时间</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合同签订后至2023年5月30日</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（二）合同履行期限</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2023年5月31日前。</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（三）标的提供的地点</w:t>
      </w:r>
    </w:p>
    <w:p>
      <w:pPr>
        <w:adjustRightInd w:val="0"/>
        <w:snapToGrid w:val="0"/>
        <w:spacing w:line="590" w:lineRule="exact"/>
        <w:ind w:firstLine="560" w:firstLineChars="200"/>
        <w:rPr>
          <w:rFonts w:ascii="仿宋_GB2312" w:hAnsi="仿宋" w:eastAsia="仿宋_GB2312"/>
          <w:sz w:val="28"/>
          <w:szCs w:val="32"/>
        </w:rPr>
      </w:pPr>
      <w:r>
        <w:rPr>
          <w:rFonts w:hint="eastAsia" w:ascii="仿宋_GB2312" w:hAnsi="仿宋" w:eastAsia="仿宋_GB2312"/>
          <w:sz w:val="28"/>
          <w:szCs w:val="32"/>
        </w:rPr>
        <w:t>广州市内采购人指定地点。</w:t>
      </w:r>
    </w:p>
    <w:p>
      <w:pPr>
        <w:adjustRightInd w:val="0"/>
        <w:snapToGrid w:val="0"/>
        <w:spacing w:line="590" w:lineRule="exact"/>
        <w:ind w:firstLine="560" w:firstLineChars="200"/>
        <w:rPr>
          <w:rFonts w:ascii="仿宋_GB2312" w:hAnsi="仿宋" w:eastAsia="仿宋_GB2312"/>
          <w:b/>
          <w:sz w:val="28"/>
          <w:szCs w:val="32"/>
        </w:rPr>
      </w:pPr>
      <w:r>
        <w:rPr>
          <w:rFonts w:hint="eastAsia" w:ascii="仿宋_GB2312" w:hAnsi="仿宋" w:eastAsia="仿宋_GB2312"/>
          <w:b/>
          <w:sz w:val="28"/>
          <w:szCs w:val="32"/>
        </w:rPr>
        <w:t>（四）采购资金支付</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1期：合同签订并收到发票后，于10个工作日内支付合同总额50%的款项。</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2期：提交阶段工作材料并收到发票后，于4月3</w:t>
      </w:r>
      <w:r>
        <w:rPr>
          <w:rFonts w:hint="eastAsia" w:ascii="仿宋_GB2312" w:hAnsi="仿宋" w:eastAsia="仿宋_GB2312"/>
          <w:sz w:val="28"/>
          <w:szCs w:val="32"/>
          <w:lang w:val="en-US" w:eastAsia="zh-CN"/>
        </w:rPr>
        <w:t>0</w:t>
      </w:r>
      <w:bookmarkStart w:id="0" w:name="_GoBack"/>
      <w:bookmarkEnd w:id="0"/>
      <w:r>
        <w:rPr>
          <w:rFonts w:hint="eastAsia" w:ascii="仿宋_GB2312" w:hAnsi="仿宋" w:eastAsia="仿宋_GB2312"/>
          <w:sz w:val="28"/>
          <w:szCs w:val="32"/>
        </w:rPr>
        <w:t>日前支付合同总额45%的款项。</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3期：验收通过，并收到发票后，于10个工作日内支付合同总额5%的款项。</w:t>
      </w:r>
    </w:p>
    <w:p>
      <w:pPr>
        <w:adjustRightInd w:val="0"/>
        <w:snapToGrid w:val="0"/>
        <w:spacing w:line="590" w:lineRule="exact"/>
        <w:ind w:left="16" w:leftChars="8" w:firstLine="621" w:firstLineChars="222"/>
        <w:rPr>
          <w:rFonts w:ascii="仿宋_GB2312" w:hAnsi="仿宋" w:eastAsia="仿宋_GB2312"/>
          <w:b/>
          <w:sz w:val="28"/>
          <w:szCs w:val="32"/>
        </w:rPr>
      </w:pPr>
      <w:r>
        <w:rPr>
          <w:rFonts w:hint="eastAsia" w:ascii="仿宋_GB2312" w:hAnsi="仿宋" w:eastAsia="仿宋_GB2312"/>
          <w:b/>
          <w:sz w:val="28"/>
          <w:szCs w:val="32"/>
        </w:rPr>
        <w:t>（五）验收要求</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1、验收时间及方式</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中标方完成整个采样并及时交付后，由中标方提出验收申请，采购方7个工作日内启动验收。采购方对提交的监测（溯源）分析</w:t>
      </w:r>
      <w:r>
        <w:rPr>
          <w:rFonts w:eastAsia="仿宋_GB2312"/>
          <w:sz w:val="28"/>
          <w:szCs w:val="32"/>
        </w:rPr>
        <w:t>、</w:t>
      </w:r>
      <w:r>
        <w:rPr>
          <w:rFonts w:hint="eastAsia" w:ascii="仿宋_GB2312" w:hAnsi="仿宋" w:eastAsia="仿宋_GB2312"/>
          <w:sz w:val="28"/>
          <w:szCs w:val="32"/>
        </w:rPr>
        <w:t>声纹织别报告及相关材料进行初步验收，组织聘请不少于3名专家对项目进行整体验收，验收通过后将支付尾款。</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2、验收标准</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（1）完成20个点位的摸查溯源、14个点位5</w:t>
      </w:r>
      <w:r>
        <w:rPr>
          <w:rFonts w:hint="eastAsia" w:ascii="仿宋" w:hAnsi="仿宋" w:eastAsia="仿宋"/>
          <w:sz w:val="28"/>
          <w:szCs w:val="32"/>
        </w:rPr>
        <w:t>×</w:t>
      </w:r>
      <w:r>
        <w:rPr>
          <w:rFonts w:hint="eastAsia" w:ascii="仿宋_GB2312" w:hAnsi="仿宋" w:eastAsia="仿宋_GB2312"/>
          <w:sz w:val="28"/>
          <w:szCs w:val="32"/>
        </w:rPr>
        <w:t>24小时的自动监测和超标录音，至少</w:t>
      </w:r>
      <w:r>
        <w:rPr>
          <w:rFonts w:ascii="仿宋_GB2312" w:hAnsi="仿宋" w:eastAsia="仿宋_GB2312"/>
          <w:sz w:val="28"/>
          <w:szCs w:val="32"/>
        </w:rPr>
        <w:t>3</w:t>
      </w:r>
      <w:r>
        <w:rPr>
          <w:rFonts w:hint="eastAsia" w:ascii="仿宋_GB2312" w:hAnsi="仿宋" w:eastAsia="仿宋_GB2312"/>
          <w:sz w:val="28"/>
          <w:szCs w:val="32"/>
        </w:rPr>
        <w:t>个点位2</w:t>
      </w:r>
      <w:r>
        <w:rPr>
          <w:rFonts w:hint="eastAsia" w:ascii="仿宋" w:hAnsi="仿宋" w:eastAsia="仿宋"/>
          <w:sz w:val="28"/>
          <w:szCs w:val="32"/>
        </w:rPr>
        <w:t>×</w:t>
      </w:r>
      <w:r>
        <w:rPr>
          <w:rFonts w:ascii="仿宋_GB2312" w:hAnsi="仿宋" w:eastAsia="仿宋_GB2312"/>
          <w:sz w:val="28"/>
          <w:szCs w:val="32"/>
        </w:rPr>
        <w:t>24</w:t>
      </w:r>
      <w:r>
        <w:rPr>
          <w:rFonts w:hint="eastAsia" w:ascii="仿宋_GB2312" w:hAnsi="仿宋" w:eastAsia="仿宋_GB2312"/>
          <w:sz w:val="28"/>
          <w:szCs w:val="32"/>
        </w:rPr>
        <w:t>小时以及20个点位噪声超标录音的声纹识别工作，满足监测频次要求，满足监测技术规范要求。</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（2）监测数据记录（包括数据报表、质控记录、录音等）齐全，不遗漏。</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（3）提交1份监测溯源分析报告。</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（4）提交1份声纹识别报告。</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3.验收费用</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本项目验收所产生的所有费用由中标方承担。</w:t>
      </w:r>
    </w:p>
    <w:p>
      <w:pPr>
        <w:adjustRightInd w:val="0"/>
        <w:snapToGrid w:val="0"/>
        <w:spacing w:line="590" w:lineRule="exact"/>
        <w:ind w:left="16" w:leftChars="8" w:firstLine="621" w:firstLineChars="222"/>
        <w:rPr>
          <w:rFonts w:ascii="仿宋_GB2312" w:hAnsi="仿宋" w:eastAsia="仿宋_GB2312"/>
          <w:b/>
          <w:sz w:val="28"/>
          <w:szCs w:val="32"/>
        </w:rPr>
      </w:pPr>
      <w:r>
        <w:rPr>
          <w:rFonts w:hint="eastAsia" w:ascii="仿宋_GB2312" w:hAnsi="仿宋" w:eastAsia="仿宋_GB2312"/>
          <w:b/>
          <w:sz w:val="28"/>
          <w:szCs w:val="32"/>
        </w:rPr>
        <w:t>（六）其他要求</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1.保密要求</w:t>
      </w:r>
    </w:p>
    <w:p>
      <w:pPr>
        <w:adjustRightInd w:val="0"/>
        <w:snapToGrid w:val="0"/>
        <w:spacing w:line="590" w:lineRule="exact"/>
        <w:ind w:left="16" w:leftChars="8" w:firstLine="621" w:firstLineChars="222"/>
        <w:rPr>
          <w:rFonts w:ascii="仿宋_GB2312" w:hAnsi="仿宋" w:eastAsia="仿宋_GB2312"/>
          <w:sz w:val="28"/>
          <w:szCs w:val="32"/>
        </w:rPr>
      </w:pPr>
      <w:r>
        <w:rPr>
          <w:rFonts w:hint="eastAsia" w:ascii="仿宋_GB2312" w:hAnsi="仿宋" w:eastAsia="仿宋_GB2312"/>
          <w:sz w:val="28"/>
          <w:szCs w:val="32"/>
        </w:rPr>
        <w:t>项目实施过程中，中标方必须采取措施对本项目的数据、技术文档等资料保密；项目完成后，未经采购方书面同意，中标方不得以任何形式运用、公布或向第三方透露相关监测结果、情况及相关技术文档资料。否则，由于中标方过错导致上述信息泄密的，中标方必须承担一切责任。</w:t>
      </w:r>
    </w:p>
    <w:p>
      <w:pPr>
        <w:adjustRightInd w:val="0"/>
        <w:snapToGrid w:val="0"/>
        <w:spacing w:line="590" w:lineRule="exact"/>
        <w:ind w:left="16" w:leftChars="8" w:firstLine="621" w:firstLineChars="222"/>
        <w:rPr>
          <w:rFonts w:ascii="仿宋_GB2312" w:hAnsi="仿宋" w:eastAsia="仿宋_GB2312"/>
          <w:sz w:val="28"/>
          <w:szCs w:val="32"/>
        </w:rPr>
      </w:pPr>
    </w:p>
    <w:p>
      <w:pPr>
        <w:adjustRightInd w:val="0"/>
        <w:snapToGrid w:val="0"/>
        <w:rPr>
          <w:b/>
          <w:sz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00AB433C"/>
    <w:rsid w:val="00003031"/>
    <w:rsid w:val="0001508E"/>
    <w:rsid w:val="000247AA"/>
    <w:rsid w:val="00033592"/>
    <w:rsid w:val="00033A2B"/>
    <w:rsid w:val="00040850"/>
    <w:rsid w:val="00044ED6"/>
    <w:rsid w:val="00052588"/>
    <w:rsid w:val="000636A0"/>
    <w:rsid w:val="000674D3"/>
    <w:rsid w:val="00073017"/>
    <w:rsid w:val="00074256"/>
    <w:rsid w:val="00082B3B"/>
    <w:rsid w:val="00091EC4"/>
    <w:rsid w:val="00093247"/>
    <w:rsid w:val="000A47EC"/>
    <w:rsid w:val="000B03D3"/>
    <w:rsid w:val="000B1199"/>
    <w:rsid w:val="000B4FB9"/>
    <w:rsid w:val="000C6AF3"/>
    <w:rsid w:val="001115D3"/>
    <w:rsid w:val="001161EE"/>
    <w:rsid w:val="00126906"/>
    <w:rsid w:val="00127A32"/>
    <w:rsid w:val="00131622"/>
    <w:rsid w:val="001322C0"/>
    <w:rsid w:val="0014613D"/>
    <w:rsid w:val="001649F5"/>
    <w:rsid w:val="00191CA7"/>
    <w:rsid w:val="001A3F78"/>
    <w:rsid w:val="001A749B"/>
    <w:rsid w:val="001B3D34"/>
    <w:rsid w:val="001B4FFA"/>
    <w:rsid w:val="001D0BC4"/>
    <w:rsid w:val="001D5F0A"/>
    <w:rsid w:val="001E3959"/>
    <w:rsid w:val="001F0EC2"/>
    <w:rsid w:val="001F1369"/>
    <w:rsid w:val="001F248E"/>
    <w:rsid w:val="00205E72"/>
    <w:rsid w:val="0021080B"/>
    <w:rsid w:val="00222883"/>
    <w:rsid w:val="002334E0"/>
    <w:rsid w:val="00242783"/>
    <w:rsid w:val="00246AF8"/>
    <w:rsid w:val="0025296F"/>
    <w:rsid w:val="0029282D"/>
    <w:rsid w:val="00293619"/>
    <w:rsid w:val="002A22A7"/>
    <w:rsid w:val="002B2A43"/>
    <w:rsid w:val="002B3613"/>
    <w:rsid w:val="002B398B"/>
    <w:rsid w:val="002D617B"/>
    <w:rsid w:val="002D7C8A"/>
    <w:rsid w:val="002D7E91"/>
    <w:rsid w:val="002E205B"/>
    <w:rsid w:val="002E5D9D"/>
    <w:rsid w:val="002F14A0"/>
    <w:rsid w:val="002F4A7A"/>
    <w:rsid w:val="00316FD7"/>
    <w:rsid w:val="00332E58"/>
    <w:rsid w:val="00334AD8"/>
    <w:rsid w:val="00334F4A"/>
    <w:rsid w:val="003363B5"/>
    <w:rsid w:val="003425AC"/>
    <w:rsid w:val="00356665"/>
    <w:rsid w:val="0036497B"/>
    <w:rsid w:val="003771F8"/>
    <w:rsid w:val="00383D76"/>
    <w:rsid w:val="003860C6"/>
    <w:rsid w:val="00396188"/>
    <w:rsid w:val="00396919"/>
    <w:rsid w:val="003A48BB"/>
    <w:rsid w:val="003B7913"/>
    <w:rsid w:val="003D05F1"/>
    <w:rsid w:val="003F26D2"/>
    <w:rsid w:val="004025BD"/>
    <w:rsid w:val="00406E3D"/>
    <w:rsid w:val="00407421"/>
    <w:rsid w:val="00422223"/>
    <w:rsid w:val="00423968"/>
    <w:rsid w:val="0042540C"/>
    <w:rsid w:val="00455749"/>
    <w:rsid w:val="00455D41"/>
    <w:rsid w:val="00486D7F"/>
    <w:rsid w:val="004A14CC"/>
    <w:rsid w:val="004A4D10"/>
    <w:rsid w:val="004A7A97"/>
    <w:rsid w:val="004B3776"/>
    <w:rsid w:val="004C27A8"/>
    <w:rsid w:val="004C30D5"/>
    <w:rsid w:val="004D0AC8"/>
    <w:rsid w:val="004D29FA"/>
    <w:rsid w:val="004D6633"/>
    <w:rsid w:val="0050468A"/>
    <w:rsid w:val="0050590F"/>
    <w:rsid w:val="0050793D"/>
    <w:rsid w:val="005159EF"/>
    <w:rsid w:val="00530C0B"/>
    <w:rsid w:val="0053509A"/>
    <w:rsid w:val="005400F0"/>
    <w:rsid w:val="00541AF6"/>
    <w:rsid w:val="00541B74"/>
    <w:rsid w:val="00546BB4"/>
    <w:rsid w:val="00553FA2"/>
    <w:rsid w:val="00554178"/>
    <w:rsid w:val="00557A08"/>
    <w:rsid w:val="00560345"/>
    <w:rsid w:val="00565E7A"/>
    <w:rsid w:val="00583FC2"/>
    <w:rsid w:val="00586617"/>
    <w:rsid w:val="005950DB"/>
    <w:rsid w:val="005A45E4"/>
    <w:rsid w:val="005C2132"/>
    <w:rsid w:val="005D21C1"/>
    <w:rsid w:val="005D6347"/>
    <w:rsid w:val="005E309C"/>
    <w:rsid w:val="005E5621"/>
    <w:rsid w:val="006022D5"/>
    <w:rsid w:val="00606C5C"/>
    <w:rsid w:val="00617166"/>
    <w:rsid w:val="00617DBF"/>
    <w:rsid w:val="00633857"/>
    <w:rsid w:val="00634358"/>
    <w:rsid w:val="00640158"/>
    <w:rsid w:val="0064481E"/>
    <w:rsid w:val="00665BA0"/>
    <w:rsid w:val="0067360F"/>
    <w:rsid w:val="006858A5"/>
    <w:rsid w:val="00691E65"/>
    <w:rsid w:val="006A4F5A"/>
    <w:rsid w:val="006B0580"/>
    <w:rsid w:val="006C4E11"/>
    <w:rsid w:val="006D3253"/>
    <w:rsid w:val="006E0395"/>
    <w:rsid w:val="006E5C14"/>
    <w:rsid w:val="006E7763"/>
    <w:rsid w:val="006F1A13"/>
    <w:rsid w:val="006F1F54"/>
    <w:rsid w:val="006F3D64"/>
    <w:rsid w:val="006F4D6F"/>
    <w:rsid w:val="006F5DD2"/>
    <w:rsid w:val="0070057A"/>
    <w:rsid w:val="00712480"/>
    <w:rsid w:val="0072796D"/>
    <w:rsid w:val="00735A75"/>
    <w:rsid w:val="00741C77"/>
    <w:rsid w:val="00750D5F"/>
    <w:rsid w:val="00763171"/>
    <w:rsid w:val="00772CD0"/>
    <w:rsid w:val="00772F85"/>
    <w:rsid w:val="00773DBA"/>
    <w:rsid w:val="00777379"/>
    <w:rsid w:val="00794804"/>
    <w:rsid w:val="007A0F19"/>
    <w:rsid w:val="007A559A"/>
    <w:rsid w:val="007C128E"/>
    <w:rsid w:val="007C42DC"/>
    <w:rsid w:val="007C7803"/>
    <w:rsid w:val="007D00CF"/>
    <w:rsid w:val="007D09B3"/>
    <w:rsid w:val="007D2F30"/>
    <w:rsid w:val="007F537C"/>
    <w:rsid w:val="008036C2"/>
    <w:rsid w:val="008056A2"/>
    <w:rsid w:val="00806DB3"/>
    <w:rsid w:val="00855789"/>
    <w:rsid w:val="00857BE5"/>
    <w:rsid w:val="00871291"/>
    <w:rsid w:val="008740F9"/>
    <w:rsid w:val="008A13F0"/>
    <w:rsid w:val="008A2549"/>
    <w:rsid w:val="008B0D18"/>
    <w:rsid w:val="008C6DD0"/>
    <w:rsid w:val="008D1907"/>
    <w:rsid w:val="008D1F6A"/>
    <w:rsid w:val="008D41BB"/>
    <w:rsid w:val="009038DE"/>
    <w:rsid w:val="00930AE6"/>
    <w:rsid w:val="009315FA"/>
    <w:rsid w:val="009317F8"/>
    <w:rsid w:val="009362A0"/>
    <w:rsid w:val="00943CED"/>
    <w:rsid w:val="00972F4D"/>
    <w:rsid w:val="00980D24"/>
    <w:rsid w:val="009823D6"/>
    <w:rsid w:val="00985608"/>
    <w:rsid w:val="00986FBA"/>
    <w:rsid w:val="00997FF3"/>
    <w:rsid w:val="009B3D51"/>
    <w:rsid w:val="009B63F2"/>
    <w:rsid w:val="009C7B4E"/>
    <w:rsid w:val="009D02F1"/>
    <w:rsid w:val="00A10651"/>
    <w:rsid w:val="00A1086E"/>
    <w:rsid w:val="00A1172D"/>
    <w:rsid w:val="00A2546A"/>
    <w:rsid w:val="00A336D5"/>
    <w:rsid w:val="00A36896"/>
    <w:rsid w:val="00A458E8"/>
    <w:rsid w:val="00A8271D"/>
    <w:rsid w:val="00A87191"/>
    <w:rsid w:val="00AA5888"/>
    <w:rsid w:val="00AB433C"/>
    <w:rsid w:val="00AB76D5"/>
    <w:rsid w:val="00AC3C73"/>
    <w:rsid w:val="00AD593C"/>
    <w:rsid w:val="00AD5CD7"/>
    <w:rsid w:val="00AE19FD"/>
    <w:rsid w:val="00AE45CD"/>
    <w:rsid w:val="00AE6049"/>
    <w:rsid w:val="00AF213D"/>
    <w:rsid w:val="00AF3AFF"/>
    <w:rsid w:val="00AF56AF"/>
    <w:rsid w:val="00AF681D"/>
    <w:rsid w:val="00B1697A"/>
    <w:rsid w:val="00B279E7"/>
    <w:rsid w:val="00B3544C"/>
    <w:rsid w:val="00B37E0A"/>
    <w:rsid w:val="00B63741"/>
    <w:rsid w:val="00B85417"/>
    <w:rsid w:val="00B939FB"/>
    <w:rsid w:val="00BC2D86"/>
    <w:rsid w:val="00BC43A4"/>
    <w:rsid w:val="00BC57BF"/>
    <w:rsid w:val="00BC581E"/>
    <w:rsid w:val="00BC7207"/>
    <w:rsid w:val="00BD071B"/>
    <w:rsid w:val="00BE2988"/>
    <w:rsid w:val="00BE4ED3"/>
    <w:rsid w:val="00BE7A42"/>
    <w:rsid w:val="00BF2496"/>
    <w:rsid w:val="00C1150A"/>
    <w:rsid w:val="00C1733D"/>
    <w:rsid w:val="00C23955"/>
    <w:rsid w:val="00C25BA1"/>
    <w:rsid w:val="00C26D8A"/>
    <w:rsid w:val="00C32165"/>
    <w:rsid w:val="00C325FB"/>
    <w:rsid w:val="00C3750E"/>
    <w:rsid w:val="00C6743E"/>
    <w:rsid w:val="00C700F4"/>
    <w:rsid w:val="00C74AED"/>
    <w:rsid w:val="00C74D75"/>
    <w:rsid w:val="00C7586E"/>
    <w:rsid w:val="00C767F3"/>
    <w:rsid w:val="00C77B21"/>
    <w:rsid w:val="00C8069E"/>
    <w:rsid w:val="00C82B0E"/>
    <w:rsid w:val="00C92EDC"/>
    <w:rsid w:val="00CA1468"/>
    <w:rsid w:val="00CA5D38"/>
    <w:rsid w:val="00CB0683"/>
    <w:rsid w:val="00CB3020"/>
    <w:rsid w:val="00CB4C4D"/>
    <w:rsid w:val="00CB79B2"/>
    <w:rsid w:val="00CC786F"/>
    <w:rsid w:val="00CE5E5E"/>
    <w:rsid w:val="00D00A7A"/>
    <w:rsid w:val="00D066A8"/>
    <w:rsid w:val="00D1323B"/>
    <w:rsid w:val="00D177DA"/>
    <w:rsid w:val="00D33BCB"/>
    <w:rsid w:val="00D4021D"/>
    <w:rsid w:val="00D446E7"/>
    <w:rsid w:val="00D45E8C"/>
    <w:rsid w:val="00D46ABA"/>
    <w:rsid w:val="00D61DA9"/>
    <w:rsid w:val="00D825CA"/>
    <w:rsid w:val="00D83D3D"/>
    <w:rsid w:val="00D84E78"/>
    <w:rsid w:val="00D87F13"/>
    <w:rsid w:val="00D93C91"/>
    <w:rsid w:val="00D949F5"/>
    <w:rsid w:val="00DA1B3D"/>
    <w:rsid w:val="00DB5702"/>
    <w:rsid w:val="00DC1F2F"/>
    <w:rsid w:val="00DD1E1F"/>
    <w:rsid w:val="00DD4721"/>
    <w:rsid w:val="00DF3648"/>
    <w:rsid w:val="00DF6BD7"/>
    <w:rsid w:val="00E14CF9"/>
    <w:rsid w:val="00E20517"/>
    <w:rsid w:val="00E325F1"/>
    <w:rsid w:val="00E4203D"/>
    <w:rsid w:val="00E6081C"/>
    <w:rsid w:val="00E630F4"/>
    <w:rsid w:val="00E94675"/>
    <w:rsid w:val="00E94BFB"/>
    <w:rsid w:val="00EA52F7"/>
    <w:rsid w:val="00EB4CC9"/>
    <w:rsid w:val="00ED50F2"/>
    <w:rsid w:val="00ED6802"/>
    <w:rsid w:val="00ED71C3"/>
    <w:rsid w:val="00EF0244"/>
    <w:rsid w:val="00EF6CB8"/>
    <w:rsid w:val="00F00048"/>
    <w:rsid w:val="00F00AC0"/>
    <w:rsid w:val="00F02F1A"/>
    <w:rsid w:val="00F031BD"/>
    <w:rsid w:val="00F059B7"/>
    <w:rsid w:val="00F05F72"/>
    <w:rsid w:val="00F14616"/>
    <w:rsid w:val="00F158E6"/>
    <w:rsid w:val="00F40781"/>
    <w:rsid w:val="00F452FB"/>
    <w:rsid w:val="00F46065"/>
    <w:rsid w:val="00F525CE"/>
    <w:rsid w:val="00F62691"/>
    <w:rsid w:val="00F70157"/>
    <w:rsid w:val="00F70A05"/>
    <w:rsid w:val="00F73285"/>
    <w:rsid w:val="00F77D45"/>
    <w:rsid w:val="00F81868"/>
    <w:rsid w:val="00FC672E"/>
    <w:rsid w:val="00FE6A3C"/>
    <w:rsid w:val="00FF2E78"/>
    <w:rsid w:val="00FF4362"/>
    <w:rsid w:val="07951EC6"/>
    <w:rsid w:val="096156FC"/>
    <w:rsid w:val="0BF444BA"/>
    <w:rsid w:val="0CFA65BA"/>
    <w:rsid w:val="1083499C"/>
    <w:rsid w:val="119007EB"/>
    <w:rsid w:val="11AC0C1F"/>
    <w:rsid w:val="182508A7"/>
    <w:rsid w:val="3F245F67"/>
    <w:rsid w:val="46A26D11"/>
    <w:rsid w:val="4C0B4B61"/>
    <w:rsid w:val="58E95545"/>
    <w:rsid w:val="5A540BB1"/>
    <w:rsid w:val="5E805E3A"/>
    <w:rsid w:val="69607388"/>
    <w:rsid w:val="6BA10F51"/>
    <w:rsid w:val="7821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msolistparagraph"/>
    <w:basedOn w:val="1"/>
    <w:qFormat/>
    <w:uiPriority w:val="0"/>
    <w:pPr>
      <w:ind w:firstLine="420" w:firstLineChars="200"/>
    </w:pPr>
    <w:rPr>
      <w:rFonts w:ascii="Times New Roman" w:hAnsi="Times New Roman" w:eastAsia="宋体" w:cs="Times New Roman"/>
      <w:szCs w:val="20"/>
    </w:rPr>
  </w:style>
  <w:style w:type="character" w:customStyle="1" w:styleId="12">
    <w:name w:val="font11"/>
    <w:basedOn w:val="7"/>
    <w:qFormat/>
    <w:uiPriority w:val="0"/>
    <w:rPr>
      <w:rFonts w:ascii="楷体_GB2312" w:eastAsia="楷体_GB2312" w:cs="楷体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86CA-BBAD-4EB6-B849-3381E224D8C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738</Words>
  <Characters>4213</Characters>
  <Lines>35</Lines>
  <Paragraphs>9</Paragraphs>
  <TotalTime>6</TotalTime>
  <ScaleCrop>false</ScaleCrop>
  <LinksUpToDate>false</LinksUpToDate>
  <CharactersWithSpaces>4942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2023-03-29T03:13:00Z</dcterms:created>
  <dc:creator>pc</dc:creator>
  <cp:lastModifiedBy>霍泽铭</cp:lastModifiedBy>
  <cp:lastPrinted>2021-03-17T08:17:00Z</cp:lastPrinted>
  <dcterms:modified xsi:type="dcterms:W3CDTF">2023-11-22T02:07:16Z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684C30E55C9F4B399259FDBB05B90BA1_13</vt:lpwstr>
  </property>
</Properties>
</file>