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0" w:lineRule="exact"/>
        <w:rPr>
          <w:rFonts w:ascii="黑体" w:eastAsia="黑体"/>
          <w:b w:val="0"/>
          <w:bCs w:val="0"/>
          <w:color w:val="auto"/>
          <w:sz w:val="32"/>
          <w:szCs w:val="32"/>
          <w:highlight w:val="none"/>
        </w:rPr>
      </w:pPr>
      <w:r>
        <w:rPr>
          <w:rFonts w:hint="eastAsia" w:ascii="黑体" w:eastAsia="黑体"/>
          <w:b w:val="0"/>
          <w:bCs w:val="0"/>
          <w:color w:val="auto"/>
          <w:sz w:val="32"/>
          <w:szCs w:val="32"/>
          <w:highlight w:val="none"/>
        </w:rPr>
        <w:t xml:space="preserve">附件2   </w:t>
      </w:r>
      <w:bookmarkStart w:id="0" w:name="_GoBack"/>
      <w:bookmarkEnd w:id="0"/>
    </w:p>
    <w:p>
      <w:pPr>
        <w:spacing w:line="590" w:lineRule="exact"/>
        <w:jc w:val="center"/>
        <w:rPr>
          <w:rFonts w:hint="eastAsia" w:ascii="方正小标宋简体" w:eastAsia="方正小标宋简体"/>
          <w:color w:val="auto"/>
          <w:sz w:val="44"/>
          <w:szCs w:val="44"/>
          <w:highlight w:val="none"/>
        </w:rPr>
      </w:pPr>
    </w:p>
    <w:p>
      <w:pPr>
        <w:spacing w:line="590" w:lineRule="exact"/>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质量监督结论表述参考样式</w:t>
      </w:r>
    </w:p>
    <w:p>
      <w:pPr>
        <w:spacing w:line="590" w:lineRule="exact"/>
        <w:jc w:val="center"/>
        <w:rPr>
          <w:rFonts w:ascii="方正小标宋简体" w:eastAsia="方正小标宋简体"/>
          <w:color w:val="auto"/>
          <w:sz w:val="44"/>
          <w:szCs w:val="44"/>
          <w:highlight w:val="none"/>
        </w:rPr>
      </w:pP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13"/>
        <w:gridCol w:w="3090"/>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地块名称</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监督工作内容</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r>
              <w:rPr>
                <w:rFonts w:hint="eastAsia" w:ascii="宋体" w:hAnsi="宋体"/>
                <w:color w:val="auto"/>
                <w:sz w:val="24"/>
                <w:highlight w:val="none"/>
              </w:rPr>
              <w:t>□初调监测（初步采样分析）</w:t>
            </w:r>
            <w:r>
              <w:rPr>
                <w:rFonts w:ascii="宋体" w:hAnsi="宋体"/>
                <w:color w:val="auto"/>
                <w:sz w:val="24"/>
                <w:highlight w:val="none"/>
              </w:rPr>
              <w:t xml:space="preserve">   </w:t>
            </w:r>
            <w:r>
              <w:rPr>
                <w:rFonts w:hint="eastAsia" w:ascii="宋体" w:hAnsi="宋体"/>
                <w:color w:val="auto"/>
                <w:sz w:val="24"/>
                <w:highlight w:val="none"/>
              </w:rPr>
              <w:t>□详调监测（详细采样分析）</w:t>
            </w:r>
          </w:p>
          <w:p>
            <w:pPr>
              <w:spacing w:before="93" w:beforeLines="30" w:line="300" w:lineRule="exact"/>
              <w:jc w:val="left"/>
              <w:rPr>
                <w:rFonts w:ascii="宋体" w:hAnsi="宋体"/>
                <w:color w:val="auto"/>
                <w:sz w:val="24"/>
                <w:highlight w:val="none"/>
              </w:rPr>
            </w:pPr>
            <w:r>
              <w:rPr>
                <w:rFonts w:hint="eastAsia" w:ascii="宋体" w:hAnsi="宋体"/>
                <w:color w:val="auto"/>
                <w:sz w:val="24"/>
                <w:highlight w:val="none"/>
              </w:rPr>
              <w:t>□修复效果评估监测</w:t>
            </w:r>
            <w:r>
              <w:rPr>
                <w:rFonts w:ascii="宋体" w:hAnsi="宋体"/>
                <w:color w:val="auto"/>
                <w:sz w:val="24"/>
                <w:highlight w:val="none"/>
              </w:rPr>
              <w:t xml:space="preserve">           </w:t>
            </w:r>
            <w:r>
              <w:rPr>
                <w:rFonts w:hint="eastAsia" w:ascii="宋体" w:hAnsi="宋体"/>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检测单位名称</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监督时间节点</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r>
              <w:rPr>
                <w:rFonts w:hint="eastAsia" w:ascii="宋体" w:hAnsi="宋体"/>
                <w:color w:val="auto"/>
                <w:sz w:val="24"/>
                <w:highlight w:val="none"/>
              </w:rPr>
              <w:t>□过程监督</w:t>
            </w:r>
            <w:r>
              <w:rPr>
                <w:rFonts w:ascii="宋体" w:hAnsi="宋体"/>
                <w:color w:val="auto"/>
                <w:sz w:val="24"/>
                <w:highlight w:val="none"/>
              </w:rPr>
              <w:t xml:space="preserve">              </w:t>
            </w:r>
            <w:r>
              <w:rPr>
                <w:rFonts w:hint="eastAsia" w:ascii="宋体" w:hAnsi="宋体"/>
                <w:color w:val="auto"/>
                <w:sz w:val="24"/>
                <w:highlight w:val="none"/>
              </w:rPr>
              <w:t>□事后监督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被监督单位提交相关检测报告、资料等情况</w:t>
            </w:r>
          </w:p>
        </w:tc>
        <w:tc>
          <w:tcPr>
            <w:tcW w:w="6513" w:type="dxa"/>
            <w:gridSpan w:val="2"/>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□按期提交</w:t>
            </w:r>
            <w:r>
              <w:rPr>
                <w:rFonts w:ascii="宋体" w:hAnsi="宋体"/>
                <w:color w:val="auto"/>
                <w:sz w:val="24"/>
                <w:highlight w:val="none"/>
              </w:rPr>
              <w:t xml:space="preserve">      </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□未按期提交，具体情况：</w:t>
            </w:r>
            <w:r>
              <w:rPr>
                <w:rFonts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监督措施与结果</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□密码平行样分析</w:t>
            </w:r>
          </w:p>
        </w:tc>
        <w:tc>
          <w:tcPr>
            <w:tcW w:w="6513" w:type="dxa"/>
            <w:gridSpan w:val="2"/>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□各批次各监测指标合格率均满足要求</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□存在合格率不满足要求情况，具体情况为：</w:t>
            </w:r>
            <w:r>
              <w:rPr>
                <w:rFonts w:ascii="宋体" w:hAnsi="宋体"/>
                <w:color w:val="auto"/>
                <w:sz w:val="24"/>
                <w:highlight w:val="none"/>
                <w:u w:val="single"/>
              </w:rPr>
              <w:t xml:space="preserve">                   </w:t>
            </w:r>
          </w:p>
          <w:p>
            <w:pPr>
              <w:spacing w:before="93" w:beforeLines="30" w:line="30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□已采取改进措施并重新接受质量监督且结果满足要求</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□已采取改进措施并重新接受质量监督但结果仍不满足要求</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□技术机构未收到有关改进的信息与材料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□留样复测</w:t>
            </w:r>
          </w:p>
        </w:tc>
        <w:tc>
          <w:tcPr>
            <w:tcW w:w="6513" w:type="dxa"/>
            <w:gridSpan w:val="2"/>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□各批次各监测指标合格率均满足要求</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□存在合格率不满足要求情况，具体情况为：</w:t>
            </w:r>
            <w:r>
              <w:rPr>
                <w:rFonts w:ascii="宋体" w:hAnsi="宋体"/>
                <w:color w:val="auto"/>
                <w:sz w:val="24"/>
                <w:highlight w:val="none"/>
                <w:u w:val="single"/>
              </w:rPr>
              <w:t xml:space="preserve">                   </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□已采取改进措施并重新接受质量监督且结果满足要求</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□已采取改进措施并重新接受质量监督但结果仍不满足要求</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□技术机构未收到有关改进的信息与材料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auto"/>
                <w:sz w:val="24"/>
                <w:highlight w:val="none"/>
              </w:rPr>
            </w:pPr>
            <w:r>
              <w:rPr>
                <w:rFonts w:hint="eastAsia" w:ascii="宋体" w:hAnsi="宋体"/>
                <w:color w:val="auto"/>
                <w:sz w:val="24"/>
                <w:highlight w:val="none"/>
              </w:rPr>
              <w:t>□平行样抽测分析</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312" w:beforeLines="100" w:line="260" w:lineRule="exact"/>
              <w:rPr>
                <w:rFonts w:ascii="宋体" w:hAnsi="宋体"/>
                <w:color w:val="auto"/>
                <w:sz w:val="24"/>
                <w:highlight w:val="none"/>
              </w:rPr>
            </w:pPr>
            <w:r>
              <w:rPr>
                <w:rFonts w:hint="eastAsia" w:ascii="宋体" w:hAnsi="宋体"/>
                <w:color w:val="auto"/>
                <w:sz w:val="24"/>
                <w:highlight w:val="none"/>
              </w:rPr>
              <w:t>□土壤污染状况评价结果均一致或测定结果的相对偏差均满足要求</w:t>
            </w:r>
          </w:p>
          <w:p>
            <w:pPr>
              <w:spacing w:before="93" w:beforeLines="30" w:line="260" w:lineRule="exact"/>
              <w:rPr>
                <w:rFonts w:ascii="宋体" w:hAnsi="宋体"/>
                <w:color w:val="auto"/>
                <w:sz w:val="24"/>
                <w:highlight w:val="none"/>
              </w:rPr>
            </w:pPr>
            <w:r>
              <w:rPr>
                <w:rFonts w:hint="eastAsia" w:ascii="宋体" w:hAnsi="宋体"/>
                <w:color w:val="auto"/>
                <w:sz w:val="24"/>
                <w:highlight w:val="none"/>
              </w:rPr>
              <w:t>□存在土壤污染状况评价结果不一致或测定结果的相对偏差不满足要求情况，具体情况为：</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260" w:lineRule="exact"/>
              <w:rPr>
                <w:rFonts w:ascii="宋体" w:hAnsi="宋体"/>
                <w:color w:val="auto"/>
                <w:sz w:val="24"/>
                <w:highlight w:val="none"/>
              </w:rPr>
            </w:pPr>
          </w:p>
          <w:p>
            <w:pPr>
              <w:spacing w:before="93" w:beforeLines="30" w:line="260" w:lineRule="exact"/>
              <w:ind w:firstLine="480" w:firstLineChars="200"/>
              <w:rPr>
                <w:rFonts w:ascii="宋体" w:hAnsi="宋体"/>
                <w:color w:val="auto"/>
                <w:sz w:val="24"/>
                <w:highlight w:val="none"/>
              </w:rPr>
            </w:pPr>
            <w:r>
              <w:rPr>
                <w:rFonts w:hint="eastAsia" w:ascii="宋体" w:hAnsi="宋体"/>
                <w:color w:val="auto"/>
                <w:sz w:val="24"/>
                <w:highlight w:val="none"/>
              </w:rPr>
              <w:t>□已采取改进措施并重新接受质量监督且结果满足要求</w:t>
            </w:r>
          </w:p>
          <w:p>
            <w:pPr>
              <w:spacing w:before="93" w:beforeLines="30" w:line="260" w:lineRule="exact"/>
              <w:ind w:firstLine="420"/>
              <w:rPr>
                <w:rFonts w:ascii="宋体" w:hAnsi="宋体"/>
                <w:color w:val="auto"/>
                <w:sz w:val="24"/>
                <w:highlight w:val="none"/>
              </w:rPr>
            </w:pPr>
            <w:r>
              <w:rPr>
                <w:rFonts w:hint="eastAsia" w:ascii="宋体" w:hAnsi="宋体"/>
                <w:color w:val="auto"/>
                <w:sz w:val="24"/>
                <w:highlight w:val="none"/>
              </w:rPr>
              <w:t>□已采取改进措施并重新接受质量监督但结果仍不满足要求</w:t>
            </w:r>
          </w:p>
          <w:p>
            <w:pPr>
              <w:spacing w:before="93" w:beforeLines="30" w:after="156" w:afterLines="50" w:line="260" w:lineRule="exact"/>
              <w:ind w:firstLine="420"/>
              <w:rPr>
                <w:rFonts w:ascii="宋体" w:hAnsi="宋体"/>
                <w:color w:val="auto"/>
                <w:sz w:val="24"/>
                <w:highlight w:val="none"/>
              </w:rPr>
            </w:pPr>
            <w:r>
              <w:rPr>
                <w:rFonts w:hint="eastAsia" w:ascii="宋体" w:hAnsi="宋体"/>
                <w:color w:val="auto"/>
                <w:sz w:val="24"/>
                <w:highlight w:val="none"/>
              </w:rPr>
              <w:t>□技术机构未收到有关改进的信息与材料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□采样复测</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r>
              <w:rPr>
                <w:rFonts w:hint="eastAsia" w:ascii="宋体" w:hAnsi="宋体"/>
                <w:color w:val="auto"/>
                <w:sz w:val="24"/>
                <w:highlight w:val="none"/>
              </w:rPr>
              <w:t>□采样复测结果的土壤污染状况评价结果与被监督单位对该区域的土壤污染状况评价结果一致</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□采样复测结果为超限值且土壤污染状况评价结果与被监督单位对该区域的土壤污染状况评价结果不一致，具体情况为：</w:t>
            </w:r>
            <w:r>
              <w:rPr>
                <w:rFonts w:ascii="宋体" w:hAnsi="宋体"/>
                <w:color w:val="auto"/>
                <w:sz w:val="24"/>
                <w:highlight w:val="none"/>
                <w:u w:val="single"/>
              </w:rPr>
              <w:t xml:space="preserve">              </w:t>
            </w:r>
          </w:p>
          <w:p>
            <w:pPr>
              <w:spacing w:line="300" w:lineRule="exact"/>
              <w:rPr>
                <w:rFonts w:ascii="宋体" w:hAnsi="宋体"/>
                <w:color w:val="auto"/>
                <w:sz w:val="24"/>
                <w:highlight w:val="none"/>
              </w:rPr>
            </w:pPr>
          </w:p>
          <w:p>
            <w:pPr>
              <w:spacing w:before="93" w:beforeLines="30" w:line="300" w:lineRule="exact"/>
              <w:ind w:firstLine="480" w:firstLineChars="200"/>
              <w:rPr>
                <w:rFonts w:ascii="宋体" w:hAnsi="宋体"/>
                <w:color w:val="auto"/>
                <w:sz w:val="24"/>
                <w:highlight w:val="none"/>
              </w:rPr>
            </w:pPr>
            <w:r>
              <w:rPr>
                <w:rFonts w:hint="eastAsia" w:ascii="宋体" w:hAnsi="宋体"/>
                <w:color w:val="auto"/>
                <w:sz w:val="24"/>
                <w:highlight w:val="none"/>
              </w:rPr>
              <w:t>□已采取改进措施并重新接受质量监督</w:t>
            </w:r>
          </w:p>
          <w:p>
            <w:pPr>
              <w:spacing w:before="93" w:beforeLines="30" w:line="300" w:lineRule="exact"/>
              <w:ind w:firstLine="420"/>
              <w:rPr>
                <w:rFonts w:ascii="宋体" w:hAnsi="宋体"/>
                <w:color w:val="auto"/>
                <w:sz w:val="24"/>
                <w:highlight w:val="none"/>
              </w:rPr>
            </w:pPr>
            <w:r>
              <w:rPr>
                <w:rFonts w:hint="eastAsia" w:ascii="宋体" w:hAnsi="宋体"/>
                <w:color w:val="auto"/>
                <w:sz w:val="24"/>
                <w:highlight w:val="none"/>
              </w:rPr>
              <w:t>□技术机构未收到有关整改的信息与材料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□采样现场监督检查</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□无现场整改项</w:t>
            </w:r>
            <w:r>
              <w:rPr>
                <w:rFonts w:ascii="宋体" w:hAnsi="宋体"/>
                <w:color w:val="auto"/>
                <w:sz w:val="24"/>
                <w:highlight w:val="none"/>
              </w:rPr>
              <w:t xml:space="preserve">             </w:t>
            </w:r>
            <w:r>
              <w:rPr>
                <w:rFonts w:hint="eastAsia" w:ascii="宋体" w:hAnsi="宋体"/>
                <w:color w:val="auto"/>
                <w:sz w:val="24"/>
                <w:highlight w:val="none"/>
              </w:rPr>
              <w:t>□无书面整改项</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□存在现场整改项并当场及时整改</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□存在书面整改项</w:t>
            </w:r>
          </w:p>
          <w:p>
            <w:pPr>
              <w:spacing w:before="93" w:beforeLines="30" w:line="30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整改情况：□已完成整改</w:t>
            </w:r>
            <w:r>
              <w:rPr>
                <w:rFonts w:ascii="宋体" w:hAnsi="宋体"/>
                <w:color w:val="auto"/>
                <w:sz w:val="24"/>
                <w:highlight w:val="none"/>
              </w:rPr>
              <w:t xml:space="preserve">   </w:t>
            </w:r>
            <w:r>
              <w:rPr>
                <w:rFonts w:hint="eastAsia" w:ascii="宋体" w:hAnsi="宋体"/>
                <w:color w:val="auto"/>
                <w:sz w:val="24"/>
                <w:highlight w:val="none"/>
              </w:rPr>
              <w:t>□未完成整改，具体情况为：</w:t>
            </w:r>
            <w:r>
              <w:rPr>
                <w:rFonts w:ascii="宋体" w:hAnsi="宋体"/>
                <w:color w:val="auto"/>
                <w:sz w:val="24"/>
                <w:highlight w:val="none"/>
                <w:u w:val="single"/>
              </w:rPr>
              <w:t xml:space="preserve">       </w:t>
            </w:r>
          </w:p>
          <w:p>
            <w:pPr>
              <w:spacing w:before="93" w:beforeLines="30" w:line="30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□技术机构未收到有关整改的信息与材料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□实验室监督检查</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□无书面整改项</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□存在书面整改项</w:t>
            </w:r>
          </w:p>
          <w:p>
            <w:pPr>
              <w:spacing w:before="93" w:beforeLines="30" w:line="30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整改情况：□已完成整改</w:t>
            </w:r>
            <w:r>
              <w:rPr>
                <w:rFonts w:ascii="宋体" w:hAnsi="宋体"/>
                <w:color w:val="auto"/>
                <w:sz w:val="24"/>
                <w:highlight w:val="none"/>
              </w:rPr>
              <w:t xml:space="preserve">   </w:t>
            </w:r>
            <w:r>
              <w:rPr>
                <w:rFonts w:hint="eastAsia" w:ascii="宋体" w:hAnsi="宋体"/>
                <w:color w:val="auto"/>
                <w:sz w:val="24"/>
                <w:highlight w:val="none"/>
              </w:rPr>
              <w:t>□未完成整改，具体情况为：</w:t>
            </w:r>
            <w:r>
              <w:rPr>
                <w:rFonts w:ascii="宋体" w:hAnsi="宋体"/>
                <w:color w:val="auto"/>
                <w:sz w:val="24"/>
                <w:highlight w:val="none"/>
                <w:u w:val="single"/>
              </w:rPr>
              <w:t xml:space="preserve">       </w:t>
            </w:r>
          </w:p>
          <w:p>
            <w:pPr>
              <w:spacing w:before="93" w:beforeLines="30" w:line="300" w:lineRule="exact"/>
              <w:ind w:firstLine="1440" w:firstLineChars="600"/>
              <w:rPr>
                <w:rFonts w:ascii="宋体" w:hAnsi="宋体"/>
                <w:color w:val="auto"/>
                <w:sz w:val="24"/>
                <w:highlight w:val="none"/>
              </w:rPr>
            </w:pPr>
            <w:r>
              <w:rPr>
                <w:rFonts w:hint="eastAsia" w:ascii="宋体" w:hAnsi="宋体"/>
                <w:color w:val="auto"/>
                <w:sz w:val="24"/>
                <w:highlight w:val="none"/>
              </w:rPr>
              <w:t>□技术机构未收到有关改进的信息与材料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□其他</w:t>
            </w:r>
          </w:p>
        </w:tc>
        <w:tc>
          <w:tcPr>
            <w:tcW w:w="6513" w:type="dxa"/>
            <w:gridSpan w:val="2"/>
            <w:tcBorders>
              <w:top w:val="single" w:color="auto" w:sz="4" w:space="0"/>
              <w:left w:val="single" w:color="auto" w:sz="4" w:space="0"/>
              <w:bottom w:val="single" w:color="auto" w:sz="4" w:space="0"/>
              <w:right w:val="single" w:color="auto" w:sz="4" w:space="0"/>
            </w:tcBorders>
            <w:noWrap w:val="0"/>
            <w:vAlign w:val="top"/>
          </w:tcPr>
          <w:p>
            <w:pPr>
              <w:spacing w:before="93" w:beforeLines="30" w:line="30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jc w:val="center"/>
              <w:rPr>
                <w:rFonts w:ascii="宋体" w:hAnsi="宋体"/>
                <w:color w:val="auto"/>
                <w:sz w:val="24"/>
                <w:highlight w:val="none"/>
              </w:rPr>
            </w:pPr>
            <w:r>
              <w:rPr>
                <w:rFonts w:hint="eastAsia" w:ascii="宋体" w:hAnsi="宋体"/>
                <w:b/>
                <w:color w:val="auto"/>
                <w:sz w:val="24"/>
                <w:highlight w:val="none"/>
              </w:rPr>
              <w:t>质量监督结论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637" w:type="dxa"/>
            <w:gridSpan w:val="3"/>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□本次监督未发现可能影响环境监测数据质量的问题</w:t>
            </w:r>
          </w:p>
        </w:tc>
        <w:tc>
          <w:tcPr>
            <w:tcW w:w="342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项目是否通过本次质量监督：</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□通过</w:t>
            </w:r>
            <w:r>
              <w:rPr>
                <w:rFonts w:ascii="宋体" w:hAnsi="宋体"/>
                <w:color w:val="auto"/>
                <w:sz w:val="24"/>
                <w:highlight w:val="none"/>
              </w:rPr>
              <w:t xml:space="preserve">  </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□原则通过</w:t>
            </w:r>
          </w:p>
          <w:p>
            <w:pPr>
              <w:spacing w:before="93" w:beforeLines="30" w:line="300" w:lineRule="exact"/>
              <w:rPr>
                <w:rFonts w:ascii="宋体" w:hAnsi="宋体"/>
                <w:color w:val="auto"/>
                <w:sz w:val="24"/>
                <w:highlight w:val="none"/>
              </w:rPr>
            </w:pPr>
            <w:r>
              <w:rPr>
                <w:rFonts w:hint="eastAsia" w:ascii="宋体" w:hAnsi="宋体"/>
                <w:color w:val="auto"/>
                <w:sz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637" w:type="dxa"/>
            <w:gridSpan w:val="3"/>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□本次监督发现可能影响环境监测数据质量的问题</w:t>
            </w:r>
          </w:p>
          <w:p>
            <w:pPr>
              <w:spacing w:before="93" w:beforeLines="30" w:line="30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整改情况：□已完成整改</w:t>
            </w:r>
            <w:r>
              <w:rPr>
                <w:rFonts w:ascii="宋体" w:hAnsi="宋体"/>
                <w:color w:val="auto"/>
                <w:sz w:val="24"/>
                <w:highlight w:val="none"/>
              </w:rPr>
              <w:t xml:space="preserve">   </w:t>
            </w:r>
            <w:r>
              <w:rPr>
                <w:rFonts w:hint="eastAsia" w:ascii="宋体" w:hAnsi="宋体"/>
                <w:color w:val="auto"/>
                <w:sz w:val="24"/>
                <w:highlight w:val="none"/>
              </w:rPr>
              <w:t>□未完成整改</w:t>
            </w:r>
          </w:p>
        </w:tc>
        <w:tc>
          <w:tcPr>
            <w:tcW w:w="3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637" w:type="dxa"/>
            <w:gridSpan w:val="3"/>
            <w:tcBorders>
              <w:top w:val="single" w:color="auto" w:sz="4" w:space="0"/>
              <w:left w:val="single" w:color="auto" w:sz="4" w:space="0"/>
              <w:bottom w:val="single" w:color="auto" w:sz="4" w:space="0"/>
              <w:right w:val="single" w:color="auto" w:sz="4" w:space="0"/>
            </w:tcBorders>
            <w:noWrap w:val="0"/>
            <w:vAlign w:val="center"/>
          </w:tcPr>
          <w:p>
            <w:pPr>
              <w:spacing w:before="93" w:beforeLines="30" w:line="300" w:lineRule="exact"/>
              <w:rPr>
                <w:rFonts w:ascii="宋体" w:hAnsi="宋体"/>
                <w:color w:val="auto"/>
                <w:sz w:val="24"/>
                <w:highlight w:val="none"/>
              </w:rPr>
            </w:pPr>
            <w:r>
              <w:rPr>
                <w:rFonts w:hint="eastAsia" w:ascii="宋体" w:hAnsi="宋体"/>
                <w:color w:val="auto"/>
                <w:sz w:val="24"/>
                <w:highlight w:val="none"/>
              </w:rPr>
              <w:t>□本次监督发现涉嫌监测数据和报告弄虚作假</w:t>
            </w:r>
          </w:p>
        </w:tc>
        <w:tc>
          <w:tcPr>
            <w:tcW w:w="34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备注</w:t>
            </w:r>
          </w:p>
        </w:tc>
        <w:tc>
          <w:tcPr>
            <w:tcW w:w="65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olor w:val="auto"/>
                <w:sz w:val="24"/>
                <w:highlight w:val="none"/>
              </w:rPr>
            </w:pPr>
          </w:p>
        </w:tc>
      </w:tr>
    </w:tbl>
    <w:p>
      <w:pPr>
        <w:rPr>
          <w:rFonts w:eastAsia="楷体_GB2312"/>
          <w:color w:val="auto"/>
          <w:szCs w:val="21"/>
          <w:highlight w:val="none"/>
        </w:rPr>
      </w:pPr>
      <w:r>
        <w:rPr>
          <w:rFonts w:eastAsia="楷体_GB2312"/>
          <w:color w:val="auto"/>
          <w:szCs w:val="21"/>
          <w:highlight w:val="none"/>
        </w:rPr>
        <w:t>注：1.</w:t>
      </w:r>
      <w:r>
        <w:rPr>
          <w:rFonts w:hint="eastAsia" w:eastAsia="楷体_GB2312"/>
          <w:color w:val="auto"/>
          <w:szCs w:val="21"/>
          <w:highlight w:val="none"/>
        </w:rPr>
        <w:t xml:space="preserve"> </w:t>
      </w:r>
      <w:r>
        <w:rPr>
          <w:rFonts w:eastAsia="楷体_GB2312"/>
          <w:color w:val="auto"/>
          <w:szCs w:val="21"/>
          <w:highlight w:val="none"/>
        </w:rPr>
        <w:t>实际应用时，可根据采取的监督措施删减无关的措施栏；</w:t>
      </w:r>
    </w:p>
    <w:p>
      <w:pPr>
        <w:ind w:firstLine="420" w:firstLineChars="200"/>
        <w:rPr>
          <w:rFonts w:eastAsia="楷体_GB2312"/>
          <w:color w:val="auto"/>
          <w:szCs w:val="21"/>
          <w:highlight w:val="none"/>
        </w:rPr>
      </w:pPr>
      <w:r>
        <w:rPr>
          <w:rFonts w:eastAsia="楷体_GB2312"/>
          <w:color w:val="auto"/>
          <w:szCs w:val="21"/>
          <w:highlight w:val="none"/>
        </w:rPr>
        <w:t>2.</w:t>
      </w:r>
      <w:r>
        <w:rPr>
          <w:rFonts w:hint="eastAsia" w:eastAsia="楷体_GB2312"/>
          <w:color w:val="auto"/>
          <w:szCs w:val="21"/>
          <w:highlight w:val="none"/>
        </w:rPr>
        <w:t xml:space="preserve"> </w:t>
      </w:r>
      <w:r>
        <w:rPr>
          <w:rFonts w:eastAsia="楷体_GB2312"/>
          <w:color w:val="auto"/>
          <w:szCs w:val="21"/>
          <w:highlight w:val="none"/>
        </w:rPr>
        <w:t>如出现上述情形以外的监督结果，可在相应栏内增加内容或另行表述，不限于本样式。</w:t>
      </w:r>
    </w:p>
    <w:p>
      <w:pPr>
        <w:widowControl/>
        <w:jc w:val="left"/>
        <w:rPr>
          <w:rFonts w:eastAsia="楷体_GB2312"/>
          <w:color w:val="auto"/>
          <w:szCs w:val="21"/>
          <w:highlight w:val="none"/>
        </w:rPr>
        <w:sectPr>
          <w:footerReference r:id="rId3" w:type="default"/>
          <w:pgSz w:w="11906" w:h="16838"/>
          <w:pgMar w:top="2098" w:right="1247" w:bottom="1758" w:left="1588" w:header="1134" w:footer="1503"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00"/>
    <w:family w:val="auto"/>
    <w:pitch w:val="default"/>
    <w:sig w:usb0="00000000" w:usb1="00000000" w:usb2="00000016" w:usb3="00000000" w:csb0="0004000F" w:csb1="00000000"/>
  </w:font>
  <w:font w:name="等线 Light">
    <w:altName w:val="楷体_GB2312"/>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Style w:val="10"/>
                              <w:rFonts w:eastAsia="仿宋_GB2312"/>
                              <w:sz w:val="28"/>
                            </w:rPr>
                          </w:pPr>
                          <w:r>
                            <w:rPr>
                              <w:rStyle w:val="10"/>
                              <w:sz w:val="28"/>
                            </w:rPr>
                            <w:t>―</w:t>
                          </w:r>
                          <w:r>
                            <w:rPr>
                              <w:rStyle w:val="10"/>
                              <w:rFonts w:eastAsia="仿宋_GB2312"/>
                              <w:sz w:val="28"/>
                            </w:rPr>
                            <w:t xml:space="preserve"> </w:t>
                          </w:r>
                          <w:r>
                            <w:rPr>
                              <w:rFonts w:eastAsia="仿宋_GB2312"/>
                              <w:sz w:val="28"/>
                            </w:rPr>
                            <w:fldChar w:fldCharType="begin"/>
                          </w:r>
                          <w:r>
                            <w:rPr>
                              <w:rStyle w:val="10"/>
                              <w:rFonts w:eastAsia="仿宋_GB2312"/>
                              <w:sz w:val="28"/>
                            </w:rPr>
                            <w:instrText xml:space="preserve">PAGE  </w:instrText>
                          </w:r>
                          <w:r>
                            <w:rPr>
                              <w:rFonts w:eastAsia="仿宋_GB2312"/>
                              <w:sz w:val="28"/>
                            </w:rPr>
                            <w:fldChar w:fldCharType="separate"/>
                          </w:r>
                          <w:r>
                            <w:rPr>
                              <w:rStyle w:val="10"/>
                              <w:rFonts w:eastAsia="仿宋_GB2312"/>
                              <w:sz w:val="28"/>
                            </w:rPr>
                            <w:t>1</w:t>
                          </w:r>
                          <w:r>
                            <w:rPr>
                              <w:rFonts w:eastAsia="仿宋_GB2312"/>
                              <w:sz w:val="28"/>
                            </w:rPr>
                            <w:fldChar w:fldCharType="end"/>
                          </w:r>
                          <w:r>
                            <w:rPr>
                              <w:rStyle w:val="10"/>
                              <w:rFonts w:eastAsia="仿宋_GB2312"/>
                              <w:sz w:val="28"/>
                            </w:rPr>
                            <w:t xml:space="preserve"> </w:t>
                          </w:r>
                          <w:r>
                            <w:rPr>
                              <w:rStyle w:val="10"/>
                              <w:sz w:val="28"/>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7"/>
                      <w:rPr>
                        <w:rStyle w:val="10"/>
                        <w:rFonts w:eastAsia="仿宋_GB2312"/>
                        <w:sz w:val="28"/>
                      </w:rPr>
                    </w:pPr>
                    <w:r>
                      <w:rPr>
                        <w:rStyle w:val="10"/>
                        <w:sz w:val="28"/>
                      </w:rPr>
                      <w:t>―</w:t>
                    </w:r>
                    <w:r>
                      <w:rPr>
                        <w:rStyle w:val="10"/>
                        <w:rFonts w:eastAsia="仿宋_GB2312"/>
                        <w:sz w:val="28"/>
                      </w:rPr>
                      <w:t xml:space="preserve"> </w:t>
                    </w:r>
                    <w:r>
                      <w:rPr>
                        <w:rFonts w:eastAsia="仿宋_GB2312"/>
                        <w:sz w:val="28"/>
                      </w:rPr>
                      <w:fldChar w:fldCharType="begin"/>
                    </w:r>
                    <w:r>
                      <w:rPr>
                        <w:rStyle w:val="10"/>
                        <w:rFonts w:eastAsia="仿宋_GB2312"/>
                        <w:sz w:val="28"/>
                      </w:rPr>
                      <w:instrText xml:space="preserve">PAGE  </w:instrText>
                    </w:r>
                    <w:r>
                      <w:rPr>
                        <w:rFonts w:eastAsia="仿宋_GB2312"/>
                        <w:sz w:val="28"/>
                      </w:rPr>
                      <w:fldChar w:fldCharType="separate"/>
                    </w:r>
                    <w:r>
                      <w:rPr>
                        <w:rStyle w:val="10"/>
                        <w:rFonts w:eastAsia="仿宋_GB2312"/>
                        <w:sz w:val="28"/>
                      </w:rPr>
                      <w:t>1</w:t>
                    </w:r>
                    <w:r>
                      <w:rPr>
                        <w:rFonts w:eastAsia="仿宋_GB2312"/>
                        <w:sz w:val="28"/>
                      </w:rPr>
                      <w:fldChar w:fldCharType="end"/>
                    </w:r>
                    <w:r>
                      <w:rPr>
                        <w:rStyle w:val="10"/>
                        <w:rFonts w:eastAsia="仿宋_GB2312"/>
                        <w:sz w:val="28"/>
                      </w:rPr>
                      <w:t xml:space="preserve"> </w:t>
                    </w:r>
                    <w:r>
                      <w:rPr>
                        <w:rStyle w:val="10"/>
                        <w:sz w:val="28"/>
                      </w:rPr>
                      <w:t>―</w:t>
                    </w:r>
                  </w:p>
                  <w:p>
                    <w:pPr>
                      <w:pStyle w:val="7"/>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54426CAC"/>
    <w:rsid w:val="38BE1547"/>
    <w:rsid w:val="5442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qFormat/>
    <w:uiPriority w:val="0"/>
    <w:pPr>
      <w:keepNext/>
      <w:keepLines/>
      <w:spacing w:before="260" w:after="260" w:line="415" w:lineRule="auto"/>
      <w:outlineLvl w:val="1"/>
    </w:pPr>
    <w:rPr>
      <w:rFonts w:ascii="Cambria" w:hAnsi="Cambria" w:eastAsia="宋体" w:cs="宋体"/>
      <w:b/>
      <w:bCs/>
      <w:sz w:val="32"/>
      <w:szCs w:val="32"/>
    </w:rPr>
  </w:style>
  <w:style w:type="paragraph" w:styleId="4">
    <w:name w:val="heading 3"/>
    <w:basedOn w:val="1"/>
    <w:next w:val="1"/>
    <w:qFormat/>
    <w:uiPriority w:val="0"/>
    <w:pPr>
      <w:keepNext/>
      <w:keepLines/>
      <w:spacing w:before="260" w:after="260" w:line="412" w:lineRule="auto"/>
      <w:outlineLvl w:val="2"/>
    </w:pPr>
    <w:rPr>
      <w:rFonts w:ascii="等线" w:hAnsi="等线" w:eastAsia="等线 Light" w:cs="宋体"/>
      <w:b/>
      <w:bCs/>
      <w:sz w:val="30"/>
      <w:szCs w:val="32"/>
    </w:rPr>
  </w:style>
  <w:style w:type="paragraph" w:styleId="5">
    <w:name w:val="heading 4"/>
    <w:basedOn w:val="1"/>
    <w:next w:val="1"/>
    <w:qFormat/>
    <w:uiPriority w:val="0"/>
    <w:pPr>
      <w:keepNext/>
      <w:keepLines/>
      <w:spacing w:before="280" w:after="290" w:line="374" w:lineRule="auto"/>
      <w:outlineLvl w:val="3"/>
    </w:pPr>
    <w:rPr>
      <w:rFonts w:ascii="Cambria" w:hAnsi="Cambria" w:eastAsia="宋体" w:cs="宋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rFonts w:ascii="Calibri" w:hAnsi="Calibri" w:eastAsia="宋体" w:cs="Times New Roman"/>
      <w:szCs w:val="22"/>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列表段落1"/>
    <w:basedOn w:val="1"/>
    <w:qFormat/>
    <w:uiPriority w:val="0"/>
    <w:pPr>
      <w:ind w:firstLine="420" w:firstLineChars="200"/>
    </w:pPr>
    <w:rPr>
      <w:rFonts w:ascii="Calibri" w:hAnsi="Calibri" w:eastAsia="宋体" w:cs="Times New Roman"/>
      <w:szCs w:val="22"/>
    </w:rPr>
  </w:style>
  <w:style w:type="paragraph" w:customStyle="1" w:styleId="12">
    <w:name w:val="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6976</Words>
  <Characters>7684</Characters>
  <Lines>0</Lines>
  <Paragraphs>0</Paragraphs>
  <TotalTime>0</TotalTime>
  <ScaleCrop>false</ScaleCrop>
  <LinksUpToDate>false</LinksUpToDate>
  <CharactersWithSpaces>7795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2023-08-01T07:13:00Z</dcterms:created>
  <dc:creator>陈璐</dc:creator>
  <cp:lastModifiedBy>陈璐</cp:lastModifiedBy>
  <dcterms:modified xsi:type="dcterms:W3CDTF">2023-08-01T07:21:36Z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6B03AA95448B457CB346DD7157A0E60F_13</vt:lpwstr>
  </property>
</Properties>
</file>