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90" w:lineRule="exact"/>
        <w:rPr>
          <w:rFonts w:ascii="方正小标宋简体" w:eastAsia="方正小标宋简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eastAsia="黑体"/>
          <w:b w:val="0"/>
          <w:bCs w:val="0"/>
          <w:color w:val="auto"/>
          <w:sz w:val="32"/>
          <w:szCs w:val="32"/>
          <w:highlight w:val="none"/>
        </w:rPr>
        <w:t>附件</w:t>
      </w:r>
      <w:r>
        <w:rPr>
          <w:rFonts w:ascii="黑体" w:eastAsia="黑体"/>
          <w:b w:val="0"/>
          <w:bCs w:val="0"/>
          <w:color w:val="auto"/>
          <w:sz w:val="32"/>
          <w:szCs w:val="32"/>
          <w:highlight w:val="none"/>
        </w:rPr>
        <w:t>3</w:t>
      </w:r>
    </w:p>
    <w:p>
      <w:pPr>
        <w:spacing w:line="59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</w:p>
    <w:p>
      <w:pPr>
        <w:spacing w:line="590" w:lineRule="exact"/>
        <w:jc w:val="center"/>
        <w:rPr>
          <w:rFonts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采样方案检查记录表参考样式</w:t>
      </w:r>
    </w:p>
    <w:p>
      <w:pPr>
        <w:pStyle w:val="7"/>
        <w:spacing w:before="0" w:after="0" w:line="590" w:lineRule="exact"/>
        <w:ind w:firstLine="241"/>
        <w:rPr>
          <w:rFonts w:ascii="仿宋_GB2312"/>
          <w:b/>
          <w:color w:val="auto"/>
          <w:sz w:val="12"/>
          <w:highlight w:val="none"/>
        </w:rPr>
      </w:pPr>
    </w:p>
    <w:tbl>
      <w:tblPr>
        <w:tblStyle w:val="9"/>
        <w:tblW w:w="14467" w:type="dxa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1298"/>
        <w:gridCol w:w="1673"/>
        <w:gridCol w:w="7034"/>
        <w:gridCol w:w="949"/>
        <w:gridCol w:w="951"/>
        <w:gridCol w:w="187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84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before="119"/>
              <w:ind w:left="569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地块名称</w:t>
            </w:r>
          </w:p>
        </w:tc>
        <w:tc>
          <w:tcPr>
            <w:tcW w:w="870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color w:val="auto"/>
                <w:highlight w:val="none"/>
              </w:rPr>
            </w:pPr>
          </w:p>
        </w:tc>
        <w:tc>
          <w:tcPr>
            <w:tcW w:w="190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before="119"/>
              <w:ind w:left="326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编制单位名称</w:t>
            </w:r>
          </w:p>
        </w:tc>
        <w:tc>
          <w:tcPr>
            <w:tcW w:w="18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98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before="118"/>
              <w:ind w:left="569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调查环节</w:t>
            </w:r>
          </w:p>
        </w:tc>
        <w:tc>
          <w:tcPr>
            <w:tcW w:w="8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tabs>
                <w:tab w:val="left" w:pos="2471"/>
                <w:tab w:val="left" w:pos="4360"/>
              </w:tabs>
              <w:spacing w:before="118"/>
              <w:ind w:left="580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□初步采样分析</w:t>
            </w:r>
            <w:r>
              <w:rPr>
                <w:color w:val="auto"/>
                <w:sz w:val="21"/>
                <w:highlight w:val="none"/>
              </w:rPr>
              <w:tab/>
            </w:r>
            <w:r>
              <w:rPr>
                <w:color w:val="auto"/>
                <w:sz w:val="21"/>
                <w:highlight w:val="none"/>
              </w:rPr>
              <w:t>□详细采样分析</w:t>
            </w:r>
            <w:r>
              <w:rPr>
                <w:color w:val="auto"/>
                <w:sz w:val="21"/>
                <w:highlight w:val="none"/>
              </w:rPr>
              <w:tab/>
            </w:r>
            <w:r>
              <w:rPr>
                <w:color w:val="auto"/>
                <w:sz w:val="21"/>
                <w:highlight w:val="none"/>
              </w:rPr>
              <w:t>□第三阶段土壤污染状况调查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 </w:t>
            </w:r>
            <w:r>
              <w:rPr>
                <w:color w:val="auto"/>
                <w:sz w:val="21"/>
                <w:highlight w:val="none"/>
              </w:rPr>
              <w:t xml:space="preserve"> 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before="118"/>
              <w:ind w:left="536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检查日期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before="118"/>
              <w:ind w:left="111" w:right="100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序号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before="118"/>
              <w:ind w:left="155" w:right="139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检查环节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before="118"/>
              <w:ind w:left="140" w:right="123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检查项目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tabs>
                <w:tab w:val="left" w:pos="435"/>
                <w:tab w:val="left" w:pos="855"/>
                <w:tab w:val="left" w:pos="1274"/>
              </w:tabs>
              <w:spacing w:before="118"/>
              <w:ind w:left="16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检</w:t>
            </w:r>
            <w:r>
              <w:rPr>
                <w:rFonts w:hint="eastAsia"/>
                <w:color w:val="auto"/>
                <w:sz w:val="21"/>
                <w:highlight w:val="none"/>
              </w:rPr>
              <w:tab/>
            </w:r>
            <w:r>
              <w:rPr>
                <w:rFonts w:hint="eastAsia"/>
                <w:color w:val="auto"/>
                <w:sz w:val="21"/>
                <w:highlight w:val="none"/>
              </w:rPr>
              <w:t>查</w:t>
            </w:r>
            <w:r>
              <w:rPr>
                <w:rFonts w:hint="eastAsia"/>
                <w:color w:val="auto"/>
                <w:sz w:val="21"/>
                <w:highlight w:val="none"/>
              </w:rPr>
              <w:tab/>
            </w:r>
            <w:r>
              <w:rPr>
                <w:rFonts w:hint="eastAsia"/>
                <w:color w:val="auto"/>
                <w:sz w:val="21"/>
                <w:highlight w:val="none"/>
              </w:rPr>
              <w:t>要</w:t>
            </w:r>
            <w:r>
              <w:rPr>
                <w:rFonts w:hint="eastAsia"/>
                <w:color w:val="auto"/>
                <w:sz w:val="21"/>
                <w:highlight w:val="none"/>
              </w:rPr>
              <w:tab/>
            </w:r>
            <w:r>
              <w:rPr>
                <w:rFonts w:hint="eastAsia"/>
                <w:color w:val="auto"/>
                <w:sz w:val="21"/>
                <w:highlight w:val="none"/>
              </w:rPr>
              <w:t>点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14"/>
              <w:spacing w:before="118"/>
              <w:ind w:left="359" w:right="19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检 查</w:t>
            </w:r>
          </w:p>
        </w:tc>
        <w:tc>
          <w:tcPr>
            <w:tcW w:w="9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before="118"/>
              <w:ind w:left="66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结 果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4"/>
              <w:spacing w:before="118"/>
              <w:ind w:left="367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检 查 意 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86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4"/>
              <w:spacing w:before="133"/>
              <w:ind w:left="13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1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4"/>
              <w:spacing w:before="131" w:line="270" w:lineRule="atLeast"/>
              <w:ind w:left="231" w:right="209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第一阶段土壤污染</w:t>
            </w:r>
          </w:p>
          <w:p>
            <w:pPr>
              <w:pStyle w:val="14"/>
              <w:spacing w:line="255" w:lineRule="exact"/>
              <w:ind w:left="158" w:right="138"/>
              <w:jc w:val="center"/>
              <w:rPr>
                <w:color w:val="auto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状况调查</w:t>
            </w:r>
          </w:p>
        </w:tc>
        <w:tc>
          <w:tcPr>
            <w:tcW w:w="16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ascii="Calibri" w:hAnsi="Calibri"/>
                <w:b/>
                <w:color w:val="auto"/>
                <w:highlight w:val="none"/>
              </w:rPr>
              <w:t>资料收集</w:t>
            </w:r>
          </w:p>
        </w:tc>
        <w:tc>
          <w:tcPr>
            <w:tcW w:w="70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before="45" w:line="246" w:lineRule="exact"/>
              <w:jc w:val="both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资料收集是否全面。</w:t>
            </w:r>
          </w:p>
          <w:p>
            <w:pPr>
              <w:autoSpaceDE w:val="0"/>
              <w:autoSpaceDN w:val="0"/>
              <w:rPr>
                <w:rFonts w:ascii="Calibri" w:hAnsi="Calibri"/>
                <w:color w:val="auto"/>
                <w:highlight w:val="none"/>
              </w:rPr>
            </w:pPr>
            <w:r>
              <w:rPr>
                <w:rFonts w:ascii="Calibri" w:hAnsi="Calibri"/>
                <w:b/>
                <w:color w:val="auto"/>
                <w:highlight w:val="none"/>
              </w:rPr>
              <w:t>要点说明：</w:t>
            </w:r>
            <w:r>
              <w:rPr>
                <w:rFonts w:ascii="Calibri" w:hAnsi="Calibri"/>
                <w:color w:val="auto"/>
                <w:highlight w:val="none"/>
              </w:rPr>
              <w:t>地块资料收集尽可能全面、翔实，能支撑污染识别结</w:t>
            </w:r>
            <w:r>
              <w:rPr>
                <w:rFonts w:ascii="Calibri" w:hAnsi="Calibri"/>
                <w:color w:val="auto"/>
                <w:spacing w:val="14"/>
                <w:highlight w:val="none"/>
              </w:rPr>
              <w:t>论。主要包括：地块利用变迁资料、地块环境资料、地块相关记</w:t>
            </w:r>
            <w:r>
              <w:rPr>
                <w:rFonts w:ascii="Calibri" w:hAnsi="Calibri"/>
                <w:color w:val="auto"/>
                <w:spacing w:val="5"/>
                <w:highlight w:val="none"/>
              </w:rPr>
              <w:t>录、有关政府文件、以及地块所在区域的自然和社会信息。当调查</w:t>
            </w:r>
            <w:r>
              <w:rPr>
                <w:rFonts w:ascii="Calibri" w:hAnsi="Calibri"/>
                <w:color w:val="auto"/>
                <w:highlight w:val="none"/>
              </w:rPr>
              <w:t>地块与相邻地块存在相互污染的可能时，须调查相邻地块的相关记录和资料。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rPr>
                <w:color w:val="auto"/>
                <w:highlight w:val="none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pStyle w:val="14"/>
              <w:rPr>
                <w:color w:val="auto"/>
                <w:highlight w:val="none"/>
              </w:rPr>
            </w:pPr>
          </w:p>
        </w:tc>
        <w:tc>
          <w:tcPr>
            <w:tcW w:w="187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686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4"/>
              <w:spacing w:before="133"/>
              <w:ind w:left="13"/>
              <w:jc w:val="center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55" w:lineRule="exact"/>
              <w:ind w:left="158" w:right="138"/>
              <w:jc w:val="center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16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Calibri" w:hAnsi="Calibri"/>
                <w:color w:val="auto"/>
                <w:sz w:val="22"/>
                <w:highlight w:val="none"/>
              </w:rPr>
            </w:pPr>
          </w:p>
        </w:tc>
        <w:tc>
          <w:tcPr>
            <w:tcW w:w="70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Calibri" w:hAnsi="Calibri"/>
                <w:color w:val="auto"/>
                <w:highlight w:val="none"/>
              </w:rPr>
            </w:pP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pStyle w:val="14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宋体" w:hAnsi="宋体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86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4"/>
              <w:spacing w:before="133"/>
              <w:ind w:left="13"/>
              <w:jc w:val="center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55" w:lineRule="exact"/>
              <w:ind w:left="158" w:right="138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6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Calibri" w:hAnsi="Calibri"/>
                <w:b/>
                <w:color w:val="auto"/>
                <w:highlight w:val="none"/>
              </w:rPr>
            </w:pPr>
          </w:p>
        </w:tc>
        <w:tc>
          <w:tcPr>
            <w:tcW w:w="70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Calibri" w:hAnsi="Calibri"/>
                <w:color w:val="auto"/>
                <w:highlight w:val="none"/>
              </w:rPr>
            </w:pP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spacing w:before="133"/>
              <w:ind w:left="359" w:right="17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□是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pStyle w:val="14"/>
              <w:spacing w:before="133"/>
              <w:ind w:left="120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□否</w:t>
            </w:r>
          </w:p>
        </w:tc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宋体" w:hAnsi="宋体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686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4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55" w:lineRule="exact"/>
              <w:ind w:left="158" w:right="138"/>
              <w:jc w:val="center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16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Calibri" w:hAnsi="Calibri"/>
                <w:color w:val="auto"/>
                <w:sz w:val="22"/>
                <w:highlight w:val="none"/>
              </w:rPr>
            </w:pPr>
          </w:p>
        </w:tc>
        <w:tc>
          <w:tcPr>
            <w:tcW w:w="70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Calibri" w:hAnsi="Calibri"/>
                <w:color w:val="auto"/>
                <w:highlight w:val="none"/>
              </w:rPr>
            </w:pP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pStyle w:val="14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宋体" w:hAnsi="宋体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686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55" w:lineRule="exact"/>
              <w:ind w:left="158" w:right="138"/>
              <w:jc w:val="center"/>
              <w:rPr>
                <w:b/>
                <w:color w:val="auto"/>
                <w:sz w:val="21"/>
                <w:highlight w:val="none"/>
              </w:rPr>
            </w:pPr>
          </w:p>
        </w:tc>
        <w:tc>
          <w:tcPr>
            <w:tcW w:w="167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Calibri" w:hAnsi="Calibri"/>
                <w:color w:val="auto"/>
                <w:sz w:val="22"/>
                <w:highlight w:val="none"/>
              </w:rPr>
            </w:pPr>
          </w:p>
        </w:tc>
        <w:tc>
          <w:tcPr>
            <w:tcW w:w="70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Calibri" w:hAnsi="Calibri"/>
                <w:color w:val="auto"/>
                <w:highlight w:val="none"/>
              </w:rPr>
            </w:pP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14"/>
              <w:rPr>
                <w:color w:val="auto"/>
                <w:highlight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4"/>
              <w:rPr>
                <w:color w:val="auto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宋体" w:hAnsi="宋体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4"/>
              <w:spacing w:before="127"/>
              <w:ind w:left="13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2</w:t>
            </w: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55" w:lineRule="exact"/>
              <w:ind w:left="158" w:right="138"/>
              <w:jc w:val="center"/>
              <w:rPr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67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before="127"/>
              <w:ind w:left="143" w:right="123"/>
              <w:jc w:val="center"/>
              <w:rPr>
                <w:color w:val="auto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现场踏勘</w:t>
            </w:r>
          </w:p>
        </w:tc>
        <w:tc>
          <w:tcPr>
            <w:tcW w:w="7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b/>
                <w:color w:val="auto"/>
                <w:highlight w:val="none"/>
              </w:rPr>
            </w:pPr>
            <w:r>
              <w:rPr>
                <w:rFonts w:ascii="Calibri" w:hAnsi="Calibri"/>
                <w:b/>
                <w:color w:val="auto"/>
                <w:highlight w:val="none"/>
              </w:rPr>
              <w:t>现场踏勘是否全面。</w:t>
            </w:r>
          </w:p>
          <w:p>
            <w:pPr>
              <w:autoSpaceDE w:val="0"/>
              <w:autoSpaceDN w:val="0"/>
              <w:rPr>
                <w:rFonts w:ascii="Calibri" w:hAnsi="Calibri"/>
                <w:color w:val="auto"/>
                <w:highlight w:val="none"/>
              </w:rPr>
            </w:pPr>
            <w:r>
              <w:rPr>
                <w:rFonts w:ascii="Calibri" w:hAnsi="Calibri"/>
                <w:color w:val="auto"/>
                <w:highlight w:val="none"/>
              </w:rPr>
              <w:t>要点说明：关注现场踏勘是否遗漏重点区域，应有现场照片及相关</w:t>
            </w:r>
          </w:p>
          <w:p>
            <w:pPr>
              <w:rPr>
                <w:rFonts w:ascii="Calibri" w:hAnsi="Calibri"/>
                <w:color w:val="auto"/>
                <w:highlight w:val="none"/>
              </w:rPr>
            </w:pPr>
            <w:r>
              <w:rPr>
                <w:rFonts w:ascii="Calibri" w:hAnsi="Calibri"/>
                <w:color w:val="auto"/>
                <w:highlight w:val="none"/>
              </w:rPr>
              <w:t>描述，必要时可现场检查。重点踏勘对象一般应包括：有毒有害物</w:t>
            </w:r>
          </w:p>
          <w:p>
            <w:pPr>
              <w:autoSpaceDE w:val="0"/>
              <w:autoSpaceDN w:val="0"/>
              <w:rPr>
                <w:rFonts w:ascii="Calibri" w:hAnsi="Calibri"/>
                <w:color w:val="auto"/>
                <w:highlight w:val="none"/>
              </w:rPr>
            </w:pPr>
            <w:r>
              <w:rPr>
                <w:rFonts w:ascii="Calibri" w:hAnsi="Calibri"/>
                <w:color w:val="auto"/>
                <w:highlight w:val="none"/>
              </w:rPr>
              <w:t>质的使用、处理、储存、处置；生产过程和设备，储槽与管线；恶</w:t>
            </w:r>
          </w:p>
          <w:p>
            <w:pPr>
              <w:rPr>
                <w:rFonts w:ascii="Calibri" w:hAnsi="Calibri"/>
                <w:color w:val="auto"/>
                <w:highlight w:val="none"/>
              </w:rPr>
            </w:pPr>
            <w:r>
              <w:rPr>
                <w:rFonts w:ascii="Calibri" w:hAnsi="Calibri"/>
                <w:color w:val="auto"/>
                <w:highlight w:val="none"/>
              </w:rPr>
              <w:t>臭、化学品味道和刺激性气味，污染和腐蚀的痕迹；排水管或渠、</w:t>
            </w:r>
          </w:p>
          <w:p>
            <w:pPr>
              <w:rPr>
                <w:rFonts w:ascii="Calibri" w:hAnsi="Calibri"/>
                <w:color w:val="auto"/>
                <w:highlight w:val="none"/>
              </w:rPr>
            </w:pPr>
            <w:r>
              <w:rPr>
                <w:rFonts w:ascii="Calibri" w:hAnsi="Calibri"/>
                <w:color w:val="auto"/>
                <w:highlight w:val="none"/>
              </w:rPr>
              <w:t>污水池或其它地表水体、废物堆放地、井等。同时应该观察和记录</w:t>
            </w:r>
          </w:p>
          <w:p>
            <w:pPr>
              <w:rPr>
                <w:rFonts w:ascii="Calibri" w:hAnsi="Calibri"/>
                <w:color w:val="auto"/>
                <w:highlight w:val="none"/>
              </w:rPr>
            </w:pPr>
            <w:r>
              <w:rPr>
                <w:rFonts w:ascii="Calibri" w:hAnsi="Calibri"/>
                <w:color w:val="auto"/>
                <w:highlight w:val="none"/>
              </w:rPr>
              <w:t>地块及周围是否有可能受污染物影响的居民区、学校、医院、饮用</w:t>
            </w:r>
          </w:p>
          <w:p>
            <w:pPr>
              <w:autoSpaceDE w:val="0"/>
              <w:autoSpaceDN w:val="0"/>
              <w:rPr>
                <w:rFonts w:ascii="Calibri" w:hAnsi="Calibri"/>
                <w:color w:val="auto"/>
                <w:sz w:val="22"/>
                <w:highlight w:val="none"/>
              </w:rPr>
            </w:pPr>
            <w:r>
              <w:rPr>
                <w:rFonts w:ascii="Calibri" w:hAnsi="Calibri"/>
                <w:color w:val="auto"/>
                <w:highlight w:val="none"/>
              </w:rPr>
              <w:t>水源保护区以及其它公共场所等，并明确其与地块的位置关系。</w:t>
            </w:r>
          </w:p>
          <w:p>
            <w:pPr>
              <w:autoSpaceDE w:val="0"/>
              <w:autoSpaceDN w:val="0"/>
              <w:jc w:val="both"/>
              <w:rPr>
                <w:rFonts w:ascii="Calibri" w:hAnsi="Calibri"/>
                <w:color w:val="auto"/>
                <w:sz w:val="22"/>
                <w:highlight w:val="none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rPr>
                <w:color w:val="auto"/>
                <w:highlight w:val="none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pStyle w:val="14"/>
              <w:rPr>
                <w:color w:val="auto"/>
                <w:highlight w:val="none"/>
              </w:rPr>
            </w:pPr>
          </w:p>
        </w:tc>
        <w:tc>
          <w:tcPr>
            <w:tcW w:w="1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4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before="127"/>
              <w:ind w:left="13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55" w:lineRule="exact"/>
              <w:ind w:left="158" w:right="138"/>
              <w:jc w:val="center"/>
              <w:rPr>
                <w:b/>
                <w:color w:val="auto"/>
                <w:sz w:val="21"/>
                <w:highlight w:val="none"/>
              </w:rPr>
            </w:pPr>
          </w:p>
        </w:tc>
        <w:tc>
          <w:tcPr>
            <w:tcW w:w="167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4"/>
              <w:spacing w:before="127"/>
              <w:ind w:left="143" w:right="123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703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4"/>
              <w:spacing w:line="244" w:lineRule="exact"/>
              <w:ind w:left="114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rPr>
                <w:color w:val="auto"/>
                <w:highlight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pStyle w:val="14"/>
              <w:rPr>
                <w:color w:val="auto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宋体" w:hAnsi="宋体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before="127"/>
              <w:ind w:left="13"/>
              <w:jc w:val="center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129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color w:val="auto"/>
                <w:highlight w:val="none"/>
              </w:rPr>
            </w:pPr>
          </w:p>
        </w:tc>
        <w:tc>
          <w:tcPr>
            <w:tcW w:w="167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4"/>
              <w:spacing w:before="127"/>
              <w:ind w:left="143" w:right="123"/>
              <w:jc w:val="center"/>
              <w:rPr>
                <w:b/>
                <w:color w:val="auto"/>
                <w:sz w:val="21"/>
                <w:highlight w:val="none"/>
              </w:rPr>
            </w:pPr>
          </w:p>
        </w:tc>
        <w:tc>
          <w:tcPr>
            <w:tcW w:w="7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4"/>
              <w:spacing w:line="244" w:lineRule="exact"/>
              <w:ind w:left="114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spacing w:before="127"/>
              <w:ind w:left="359" w:right="17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□是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pStyle w:val="14"/>
              <w:spacing w:before="127"/>
              <w:ind w:left="120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□否</w:t>
            </w:r>
          </w:p>
        </w:tc>
        <w:tc>
          <w:tcPr>
            <w:tcW w:w="1876" w:type="dxa"/>
            <w:vMerge w:val="continue"/>
            <w:tcBorders>
              <w:top w:val="nil"/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宋体" w:hAnsi="宋体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86" w:type="dxa"/>
            <w:vMerge w:val="continue"/>
            <w:tcBorders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pStyle w:val="14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pStyle w:val="14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7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4"/>
              <w:spacing w:line="244" w:lineRule="exact"/>
              <w:ind w:left="114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pStyle w:val="14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宋体" w:hAnsi="宋体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703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4"/>
              <w:spacing w:line="244" w:lineRule="exact"/>
              <w:ind w:left="114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pStyle w:val="14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宋体" w:hAnsi="宋体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686" w:type="dxa"/>
            <w:tcBorders>
              <w:top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1673" w:type="dxa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703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4"/>
              <w:spacing w:line="244" w:lineRule="exact"/>
              <w:ind w:left="114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14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4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宋体" w:hAnsi="宋体"/>
                <w:color w:val="auto"/>
                <w:sz w:val="2"/>
                <w:szCs w:val="2"/>
                <w:highlight w:val="none"/>
              </w:rPr>
            </w:pPr>
          </w:p>
        </w:tc>
      </w:tr>
    </w:tbl>
    <w:p>
      <w:pPr>
        <w:rPr>
          <w:color w:val="auto"/>
          <w:sz w:val="2"/>
          <w:szCs w:val="2"/>
          <w:highlight w:val="none"/>
        </w:rPr>
        <w:sectPr>
          <w:footerReference r:id="rId3" w:type="default"/>
          <w:pgSz w:w="16840" w:h="11910" w:orient="landscape"/>
          <w:pgMar w:top="1417" w:right="1134" w:bottom="1134" w:left="1134" w:header="1134" w:footer="1134" w:gutter="0"/>
          <w:pgNumType w:fmt="decimal"/>
          <w:cols w:space="720" w:num="1"/>
          <w:rtlGutter w:val="0"/>
          <w:docGrid w:linePitch="0" w:charSpace="0"/>
        </w:sectPr>
      </w:pPr>
    </w:p>
    <w:p>
      <w:pPr>
        <w:pStyle w:val="7"/>
        <w:spacing w:before="7" w:after="1"/>
        <w:ind w:firstLine="0"/>
        <w:rPr>
          <w:rFonts w:ascii="仿宋_GB2312"/>
          <w:b/>
          <w:color w:val="auto"/>
          <w:sz w:val="26"/>
          <w:highlight w:val="none"/>
        </w:rPr>
      </w:pPr>
    </w:p>
    <w:tbl>
      <w:tblPr>
        <w:tblStyle w:val="9"/>
        <w:tblW w:w="1342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1298"/>
        <w:gridCol w:w="1162"/>
        <w:gridCol w:w="6497"/>
        <w:gridCol w:w="951"/>
        <w:gridCol w:w="950"/>
        <w:gridCol w:w="187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01" w:hRule="atLeast"/>
          <w:jc w:val="center"/>
        </w:trPr>
        <w:tc>
          <w:tcPr>
            <w:tcW w:w="686" w:type="dxa"/>
            <w:tcBorders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298" w:type="dxa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162" w:type="dxa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6497" w:type="dxa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before="37" w:line="245" w:lineRule="exact"/>
              <w:ind w:left="114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人员访谈是否合理、全面。</w:t>
            </w:r>
          </w:p>
        </w:tc>
        <w:tc>
          <w:tcPr>
            <w:tcW w:w="951" w:type="dxa"/>
            <w:tcBorders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950" w:type="dxa"/>
            <w:tcBorders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876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42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要点说明：</w:t>
            </w:r>
            <w:r>
              <w:rPr>
                <w:color w:val="auto"/>
                <w:sz w:val="21"/>
                <w:highlight w:val="none"/>
              </w:rPr>
              <w:t>访谈人员选择应合理，受访者为地块现状或历史的知情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2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42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人，应包括：地块管理机构和地方政府的官员，生态环境行政主管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2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42" w:lineRule="exact"/>
              <w:ind w:left="13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3</w:t>
            </w: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42" w:lineRule="exact"/>
              <w:ind w:left="143" w:right="123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人员访谈</w:t>
            </w: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42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部门的官员，地块过去和现在各阶段的使用者，以及地块所在地或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spacing w:line="242" w:lineRule="exact"/>
              <w:ind w:right="90"/>
              <w:jc w:val="right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□是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42" w:lineRule="exact"/>
              <w:ind w:left="118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□否</w:t>
            </w: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2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42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熟悉地块的第三方，如相邻地块的工作人员和附近的居民。人员访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9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before="11" w:line="239" w:lineRule="exact"/>
              <w:ind w:left="158" w:right="138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第一阶段</w:t>
            </w: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50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谈应有照片、记录等支持材料，访谈内容应包括资料收集和现场踏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97" w:hRule="atLeast"/>
          <w:jc w:val="center"/>
        </w:trPr>
        <w:tc>
          <w:tcPr>
            <w:tcW w:w="686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before="4"/>
              <w:ind w:left="158" w:right="138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土壤污染</w:t>
            </w: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59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勘所涉及的疑问，以及信息补充和已有资料的考证。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90" w:hRule="atLeast"/>
          <w:jc w:val="center"/>
        </w:trPr>
        <w:tc>
          <w:tcPr>
            <w:tcW w:w="686" w:type="dxa"/>
            <w:tcBorders>
              <w:top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38" w:lineRule="exact"/>
              <w:ind w:left="158" w:right="138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状况调查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64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before="25" w:line="246" w:lineRule="exact"/>
              <w:ind w:left="114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污染识别结论是否准确。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2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42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要点说明：</w:t>
            </w:r>
            <w:r>
              <w:rPr>
                <w:color w:val="auto"/>
                <w:sz w:val="21"/>
                <w:highlight w:val="none"/>
              </w:rPr>
              <w:t>结论应明确地块内及周围区域有无可能的污染源，并进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34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before="133"/>
              <w:ind w:left="13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4</w:t>
            </w: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66" w:lineRule="exact"/>
              <w:ind w:left="144" w:right="122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污染识别</w:t>
            </w:r>
          </w:p>
          <w:p>
            <w:pPr>
              <w:pStyle w:val="14"/>
              <w:spacing w:before="3" w:line="246" w:lineRule="exact"/>
              <w:ind w:left="143" w:right="123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结论</w:t>
            </w: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66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pacing w:val="5"/>
                <w:sz w:val="21"/>
                <w:highlight w:val="none"/>
              </w:rPr>
              <w:t>行不确定性分析。若有可能的污染源，应说明可能的污染类型、污</w:t>
            </w:r>
          </w:p>
          <w:p>
            <w:pPr>
              <w:pStyle w:val="14"/>
              <w:spacing w:before="3" w:line="246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pacing w:val="5"/>
                <w:sz w:val="21"/>
                <w:highlight w:val="none"/>
              </w:rPr>
              <w:t>染状况和来源，并应提出第二阶段土壤污染状况调查的建议。重点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spacing w:before="133"/>
              <w:ind w:right="90"/>
              <w:jc w:val="right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□是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before="133"/>
              <w:ind w:left="118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□否</w:t>
            </w: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2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42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关注疑似污染区、污染介质、特征污染物等分析是否准确，是否能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95" w:hRule="atLeast"/>
          <w:jc w:val="center"/>
        </w:trPr>
        <w:tc>
          <w:tcPr>
            <w:tcW w:w="686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66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支撑第二阶段土壤污染状况调查布点。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07" w:hRule="atLeast"/>
          <w:jc w:val="center"/>
        </w:trPr>
        <w:tc>
          <w:tcPr>
            <w:tcW w:w="686" w:type="dxa"/>
            <w:tcBorders>
              <w:top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64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before="41" w:line="246" w:lineRule="exact"/>
              <w:ind w:left="114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点位数量是否符合要求。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2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42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要点说明：</w:t>
            </w:r>
            <w:r>
              <w:rPr>
                <w:color w:val="auto"/>
                <w:sz w:val="21"/>
                <w:highlight w:val="none"/>
              </w:rPr>
              <w:t>点位数量应当主要基于专业的判断，原则上地块面积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2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42" w:lineRule="exact"/>
              <w:ind w:left="13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5</w:t>
            </w: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42" w:lineRule="exact"/>
              <w:ind w:left="143" w:right="123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点位数量</w:t>
            </w: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42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≤5000m</w:t>
            </w:r>
            <w:r>
              <w:rPr>
                <w:color w:val="auto"/>
                <w:position w:val="11"/>
                <w:sz w:val="11"/>
                <w:highlight w:val="none"/>
              </w:rPr>
              <w:t>2</w:t>
            </w:r>
            <w:r>
              <w:rPr>
                <w:color w:val="auto"/>
                <w:sz w:val="21"/>
                <w:highlight w:val="none"/>
              </w:rPr>
              <w:t>，土壤采样点位数不少于 3 个；地块面积＞5000m</w:t>
            </w:r>
            <w:r>
              <w:rPr>
                <w:color w:val="auto"/>
                <w:position w:val="11"/>
                <w:sz w:val="11"/>
                <w:highlight w:val="none"/>
              </w:rPr>
              <w:t>2</w:t>
            </w:r>
            <w:r>
              <w:rPr>
                <w:color w:val="auto"/>
                <w:sz w:val="21"/>
                <w:highlight w:val="none"/>
              </w:rPr>
              <w:t>，土壤采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spacing w:line="242" w:lineRule="exact"/>
              <w:ind w:right="90"/>
              <w:jc w:val="right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□是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42" w:lineRule="exact"/>
              <w:ind w:left="118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□否</w:t>
            </w: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2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42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样点位数不少于 6 个，并可根据实际情况酌情增加。若可能存在地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12" w:hRule="atLeast"/>
          <w:jc w:val="center"/>
        </w:trPr>
        <w:tc>
          <w:tcPr>
            <w:tcW w:w="686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66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下水污染的，应布设地下水点位。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4" w:hRule="atLeast"/>
          <w:jc w:val="center"/>
        </w:trPr>
        <w:tc>
          <w:tcPr>
            <w:tcW w:w="686" w:type="dxa"/>
            <w:tcBorders>
              <w:top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6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6"/>
                <w:highlight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6"/>
                <w:highlight w:val="none"/>
              </w:rPr>
            </w:pPr>
          </w:p>
        </w:tc>
        <w:tc>
          <w:tcPr>
            <w:tcW w:w="64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14" w:lineRule="exact"/>
              <w:ind w:left="114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布点位置是否合理。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6"/>
                <w:highlight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6"/>
                <w:highlight w:val="none"/>
              </w:rPr>
            </w:pPr>
          </w:p>
        </w:tc>
        <w:tc>
          <w:tcPr>
            <w:tcW w:w="1876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52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32" w:lineRule="exact"/>
              <w:ind w:left="158" w:right="138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第二阶段</w:t>
            </w: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before="18" w:line="214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pacing w:val="-8"/>
                <w:sz w:val="21"/>
                <w:highlight w:val="none"/>
              </w:rPr>
              <w:t>要点说明：</w:t>
            </w:r>
            <w:r>
              <w:rPr>
                <w:color w:val="auto"/>
                <w:spacing w:val="-16"/>
                <w:sz w:val="21"/>
                <w:highlight w:val="none"/>
              </w:rPr>
              <w:t>布点位置应当主要基于专业的判断。</w:t>
            </w:r>
            <w:r>
              <w:rPr>
                <w:b/>
                <w:color w:val="auto"/>
                <w:spacing w:val="-7"/>
                <w:sz w:val="21"/>
                <w:highlight w:val="none"/>
              </w:rPr>
              <w:t>（1）</w:t>
            </w:r>
            <w:r>
              <w:rPr>
                <w:b/>
                <w:color w:val="auto"/>
                <w:spacing w:val="-8"/>
                <w:sz w:val="21"/>
                <w:highlight w:val="none"/>
              </w:rPr>
              <w:t>土壤点位：</w:t>
            </w:r>
            <w:r>
              <w:rPr>
                <w:color w:val="auto"/>
                <w:spacing w:val="-6"/>
                <w:sz w:val="21"/>
                <w:highlight w:val="none"/>
              </w:rPr>
              <w:t>应当以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52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32" w:lineRule="exact"/>
              <w:ind w:left="158" w:right="138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土壤污染</w:t>
            </w: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before="18" w:line="214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pacing w:val="-9"/>
                <w:sz w:val="21"/>
                <w:highlight w:val="none"/>
              </w:rPr>
              <w:t>尽可能捕获污染为目的，根据第一阶段土壤污染状况调查识别出的疑似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52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32" w:lineRule="exact"/>
              <w:ind w:left="158" w:right="139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状况调查-</w:t>
            </w: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before="18" w:line="214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pacing w:val="-9"/>
                <w:sz w:val="21"/>
                <w:highlight w:val="none"/>
              </w:rPr>
              <w:t>污染区域，选择可能污染较重的区域进行布点，布点位置需明确，并给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52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32" w:lineRule="exact"/>
              <w:ind w:left="158" w:right="138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初步采样</w:t>
            </w: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before="18" w:line="214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pacing w:val="-9"/>
                <w:sz w:val="21"/>
                <w:highlight w:val="none"/>
              </w:rPr>
              <w:t>出合理理由，原则上应当在疑似污染区域污染最重的地方或有明显污染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51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before="153"/>
              <w:ind w:left="13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6</w:t>
            </w: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34" w:lineRule="exact"/>
              <w:ind w:left="158" w:right="138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分析</w:t>
            </w: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before="153"/>
              <w:ind w:left="143" w:right="123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布点位置</w:t>
            </w: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before="17" w:line="270" w:lineRule="atLeast"/>
              <w:ind w:left="114" w:right="8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pacing w:val="-9"/>
                <w:sz w:val="21"/>
                <w:highlight w:val="none"/>
              </w:rPr>
              <w:t>的部位布设。对于污染较均匀的地块</w:t>
            </w:r>
            <w:r>
              <w:rPr>
                <w:color w:val="auto"/>
                <w:spacing w:val="-8"/>
                <w:sz w:val="21"/>
                <w:highlight w:val="none"/>
              </w:rPr>
              <w:t>（</w:t>
            </w:r>
            <w:r>
              <w:rPr>
                <w:color w:val="auto"/>
                <w:spacing w:val="-9"/>
                <w:sz w:val="21"/>
                <w:highlight w:val="none"/>
              </w:rPr>
              <w:t>包括污染物种类和污染程度）</w:t>
            </w:r>
            <w:r>
              <w:rPr>
                <w:color w:val="auto"/>
                <w:sz w:val="21"/>
                <w:highlight w:val="none"/>
              </w:rPr>
              <w:t>和</w:t>
            </w:r>
            <w:r>
              <w:rPr>
                <w:color w:val="auto"/>
                <w:spacing w:val="-5"/>
                <w:sz w:val="21"/>
                <w:highlight w:val="none"/>
              </w:rPr>
              <w:t>地貌严重破坏的地块（包括拆迁性破坏、历史变更性破坏</w:t>
            </w:r>
            <w:r>
              <w:rPr>
                <w:color w:val="auto"/>
                <w:spacing w:val="-106"/>
                <w:sz w:val="21"/>
                <w:highlight w:val="none"/>
              </w:rPr>
              <w:t>）</w:t>
            </w:r>
            <w:r>
              <w:rPr>
                <w:color w:val="auto"/>
                <w:spacing w:val="-4"/>
                <w:sz w:val="21"/>
                <w:highlight w:val="none"/>
              </w:rPr>
              <w:t>，可根据地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spacing w:before="153"/>
              <w:ind w:right="90"/>
              <w:jc w:val="right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□是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before="153"/>
              <w:ind w:left="118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□否</w:t>
            </w: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46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6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6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6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27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pacing w:val="-17"/>
                <w:sz w:val="21"/>
                <w:highlight w:val="none"/>
              </w:rPr>
              <w:t>块的形状进行系统随机布点。</w:t>
            </w:r>
            <w:r>
              <w:rPr>
                <w:b/>
                <w:color w:val="auto"/>
                <w:spacing w:val="-6"/>
                <w:sz w:val="21"/>
                <w:highlight w:val="none"/>
              </w:rPr>
              <w:t>（2）</w:t>
            </w:r>
            <w:r>
              <w:rPr>
                <w:b/>
                <w:color w:val="auto"/>
                <w:spacing w:val="-8"/>
                <w:sz w:val="21"/>
                <w:highlight w:val="none"/>
              </w:rPr>
              <w:t>地下水点位：</w:t>
            </w:r>
            <w:r>
              <w:rPr>
                <w:color w:val="auto"/>
                <w:spacing w:val="-9"/>
                <w:sz w:val="21"/>
                <w:highlight w:val="none"/>
              </w:rPr>
              <w:t>地下水点位应当沿地下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6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6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52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32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pacing w:val="-9"/>
                <w:sz w:val="21"/>
                <w:highlight w:val="none"/>
              </w:rPr>
              <w:t>水流向布设，在地下水流向上游、地下水可能污染较重区域和地下水流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52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32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pacing w:val="-9"/>
                <w:sz w:val="21"/>
                <w:highlight w:val="none"/>
              </w:rPr>
              <w:t>向下游分别布设。未布设地下水调查点位须有合理的理由。若需调查确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59" w:hRule="atLeast"/>
          <w:jc w:val="center"/>
        </w:trPr>
        <w:tc>
          <w:tcPr>
            <w:tcW w:w="686" w:type="dxa"/>
            <w:tcBorders>
              <w:top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61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pacing w:val="-9"/>
                <w:sz w:val="21"/>
                <w:highlight w:val="none"/>
              </w:rPr>
              <w:t>定地下水流向及地下水位，可结合土壤污染状况调查阶段性结论，间隔</w:t>
            </w:r>
          </w:p>
          <w:p>
            <w:pPr>
              <w:pStyle w:val="14"/>
              <w:spacing w:before="2" w:line="252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一定距离按三角形或四边形至少布置 3</w:t>
            </w:r>
            <w:r>
              <w:rPr>
                <w:rFonts w:ascii="Times New Roman" w:eastAsia="Times New Roman"/>
                <w:color w:val="auto"/>
                <w:sz w:val="21"/>
                <w:highlight w:val="none"/>
              </w:rPr>
              <w:t>~</w:t>
            </w:r>
            <w:r>
              <w:rPr>
                <w:color w:val="auto"/>
                <w:sz w:val="21"/>
                <w:highlight w:val="none"/>
              </w:rPr>
              <w:t>4 个点位监测判断。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right w:val="nil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</w:tbl>
    <w:p>
      <w:pPr>
        <w:rPr>
          <w:color w:val="auto"/>
          <w:sz w:val="2"/>
          <w:szCs w:val="2"/>
          <w:highlight w:val="none"/>
        </w:rPr>
        <w:sectPr>
          <w:footerReference r:id="rId4" w:type="default"/>
          <w:pgSz w:w="16840" w:h="11910" w:orient="landscape"/>
          <w:pgMar w:top="1417" w:right="1134" w:bottom="1134" w:left="1134" w:header="1134" w:footer="1134" w:gutter="0"/>
          <w:pgNumType w:fmt="decimal"/>
          <w:cols w:space="720" w:num="1"/>
          <w:rtlGutter w:val="0"/>
          <w:docGrid w:linePitch="0" w:charSpace="0"/>
        </w:sectPr>
      </w:pPr>
    </w:p>
    <w:p>
      <w:pPr>
        <w:pStyle w:val="7"/>
        <w:spacing w:before="7" w:after="1"/>
        <w:ind w:firstLine="0"/>
        <w:rPr>
          <w:rFonts w:ascii="仿宋_GB2312"/>
          <w:b/>
          <w:color w:val="auto"/>
          <w:sz w:val="26"/>
          <w:highlight w:val="none"/>
        </w:rPr>
      </w:pPr>
    </w:p>
    <w:tbl>
      <w:tblPr>
        <w:tblStyle w:val="9"/>
        <w:tblW w:w="1342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1298"/>
        <w:gridCol w:w="1162"/>
        <w:gridCol w:w="6497"/>
        <w:gridCol w:w="951"/>
        <w:gridCol w:w="950"/>
        <w:gridCol w:w="187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686" w:type="dxa"/>
            <w:tcBorders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298" w:type="dxa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162" w:type="dxa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64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before="0" w:line="246" w:lineRule="exact"/>
              <w:ind w:left="114"/>
              <w:jc w:val="both"/>
              <w:rPr>
                <w:rFonts w:ascii="仿宋_GB2312"/>
                <w:b/>
                <w:color w:val="auto"/>
                <w:sz w:val="19"/>
                <w:highlight w:val="none"/>
              </w:rPr>
            </w:pPr>
          </w:p>
          <w:p>
            <w:pPr>
              <w:pStyle w:val="14"/>
              <w:spacing w:line="246" w:lineRule="exact"/>
              <w:ind w:left="114"/>
              <w:jc w:val="both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采样深度设置是否科学。</w:t>
            </w:r>
          </w:p>
          <w:p>
            <w:pPr>
              <w:pStyle w:val="14"/>
              <w:spacing w:line="246" w:lineRule="exact"/>
              <w:ind w:left="114"/>
              <w:jc w:val="both"/>
              <w:rPr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pacing w:val="-20"/>
                <w:w w:val="99"/>
                <w:sz w:val="21"/>
                <w:highlight w:val="none"/>
              </w:rPr>
              <w:t>要点说明：</w:t>
            </w:r>
            <w:r>
              <w:rPr>
                <w:b/>
                <w:color w:val="auto"/>
                <w:spacing w:val="2"/>
                <w:w w:val="99"/>
                <w:sz w:val="21"/>
                <w:highlight w:val="none"/>
              </w:rPr>
              <w:t>（1</w:t>
            </w:r>
            <w:r>
              <w:rPr>
                <w:b/>
                <w:color w:val="auto"/>
                <w:spacing w:val="3"/>
                <w:w w:val="99"/>
                <w:sz w:val="21"/>
                <w:highlight w:val="none"/>
              </w:rPr>
              <w:t>）</w:t>
            </w:r>
            <w:r>
              <w:rPr>
                <w:b/>
                <w:color w:val="auto"/>
                <w:spacing w:val="2"/>
                <w:w w:val="99"/>
                <w:sz w:val="21"/>
                <w:highlight w:val="none"/>
              </w:rPr>
              <w:t>土壤采样深度</w:t>
            </w:r>
            <w:r>
              <w:rPr>
                <w:b/>
                <w:color w:val="auto"/>
                <w:spacing w:val="3"/>
                <w:w w:val="99"/>
                <w:sz w:val="21"/>
                <w:highlight w:val="none"/>
              </w:rPr>
              <w:t>（</w:t>
            </w:r>
            <w:r>
              <w:rPr>
                <w:b/>
                <w:color w:val="auto"/>
                <w:spacing w:val="2"/>
                <w:w w:val="99"/>
                <w:sz w:val="21"/>
                <w:highlight w:val="none"/>
              </w:rPr>
              <w:t>钻探深度和取样位置</w:t>
            </w:r>
            <w:r>
              <w:rPr>
                <w:b/>
                <w:color w:val="auto"/>
                <w:spacing w:val="-103"/>
                <w:w w:val="99"/>
                <w:sz w:val="21"/>
                <w:highlight w:val="none"/>
              </w:rPr>
              <w:t>）</w:t>
            </w:r>
            <w:r>
              <w:rPr>
                <w:rFonts w:hint="eastAsia"/>
                <w:b/>
                <w:color w:val="auto"/>
                <w:spacing w:val="3"/>
                <w:w w:val="99"/>
                <w:sz w:val="21"/>
                <w:highlight w:val="none"/>
                <w:lang w:val="en-US" w:eastAsia="zh-CN"/>
              </w:rPr>
              <w:t xml:space="preserve"> ：</w:t>
            </w:r>
            <w:r>
              <w:rPr>
                <w:color w:val="auto"/>
                <w:spacing w:val="1"/>
                <w:sz w:val="21"/>
                <w:highlight w:val="none"/>
              </w:rPr>
              <w:t>应当综合考</w:t>
            </w:r>
          </w:p>
          <w:p>
            <w:pPr>
              <w:pStyle w:val="14"/>
              <w:spacing w:line="246" w:lineRule="exact"/>
              <w:ind w:left="114"/>
              <w:jc w:val="both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虑污染物迁移特点、地层渗透性、地下水位、地下构筑物和地下设</w:t>
            </w:r>
          </w:p>
          <w:p>
            <w:pPr>
              <w:pStyle w:val="14"/>
              <w:spacing w:line="246" w:lineRule="exact"/>
              <w:ind w:left="114" w:right="0"/>
              <w:jc w:val="both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pacing w:val="0"/>
                <w:sz w:val="21"/>
                <w:highlight w:val="none"/>
              </w:rPr>
              <w:t>施埋深及破损等情况，结合现场筛选及相关经验判断后确定。原则</w:t>
            </w:r>
            <w:r>
              <w:rPr>
                <w:color w:val="auto"/>
                <w:sz w:val="21"/>
                <w:highlight w:val="none"/>
              </w:rPr>
              <w:t>上应当包含表层样品（0</w:t>
            </w:r>
            <w:r>
              <w:rPr>
                <w:rFonts w:ascii="Times New Roman" w:eastAsia="Times New Roman"/>
                <w:color w:val="auto"/>
                <w:sz w:val="21"/>
                <w:highlight w:val="none"/>
              </w:rPr>
              <w:t>~</w:t>
            </w:r>
            <w:r>
              <w:rPr>
                <w:color w:val="auto"/>
                <w:sz w:val="21"/>
                <w:highlight w:val="none"/>
              </w:rPr>
              <w:t>0.5m）和下层样品。0.5m</w:t>
            </w:r>
            <w:r>
              <w:rPr>
                <w:color w:val="auto"/>
                <w:spacing w:val="0"/>
                <w:sz w:val="21"/>
                <w:highlight w:val="none"/>
              </w:rPr>
              <w:t xml:space="preserve"> 以下的下层土壤样品根据判断布点法采集，建议 </w:t>
            </w:r>
            <w:r>
              <w:rPr>
                <w:color w:val="auto"/>
                <w:sz w:val="21"/>
                <w:highlight w:val="none"/>
              </w:rPr>
              <w:t>0.5</w:t>
            </w:r>
            <w:r>
              <w:rPr>
                <w:rFonts w:ascii="Times New Roman" w:eastAsia="Times New Roman"/>
                <w:color w:val="auto"/>
                <w:sz w:val="21"/>
                <w:highlight w:val="none"/>
              </w:rPr>
              <w:t>~</w:t>
            </w:r>
            <w:r>
              <w:rPr>
                <w:color w:val="auto"/>
                <w:sz w:val="21"/>
                <w:highlight w:val="none"/>
              </w:rPr>
              <w:t>6m</w:t>
            </w:r>
            <w:r>
              <w:rPr>
                <w:color w:val="auto"/>
                <w:spacing w:val="0"/>
                <w:sz w:val="21"/>
                <w:highlight w:val="none"/>
              </w:rPr>
              <w:t xml:space="preserve"> 土壤采样间隔不超过 </w:t>
            </w:r>
            <w:r>
              <w:rPr>
                <w:color w:val="auto"/>
                <w:sz w:val="21"/>
                <w:highlight w:val="none"/>
              </w:rPr>
              <w:t>2m；不</w:t>
            </w:r>
            <w:r>
              <w:rPr>
                <w:color w:val="auto"/>
                <w:spacing w:val="0"/>
                <w:sz w:val="21"/>
                <w:highlight w:val="none"/>
              </w:rPr>
              <w:t>同性质土层至少采集一个土壤样品。同一性质土层厚度较大或出现</w:t>
            </w:r>
          </w:p>
          <w:p>
            <w:pPr>
              <w:pStyle w:val="14"/>
              <w:spacing w:line="246" w:lineRule="exact"/>
              <w:ind w:left="114"/>
              <w:jc w:val="both"/>
              <w:rPr>
                <w:b/>
                <w:color w:val="auto"/>
                <w:sz w:val="21"/>
                <w:highlight w:val="none"/>
              </w:rPr>
            </w:pPr>
            <w:r>
              <w:rPr>
                <w:color w:val="auto"/>
                <w:spacing w:val="0"/>
                <w:sz w:val="21"/>
                <w:highlight w:val="none"/>
              </w:rPr>
              <w:t>明显污染痕迹时，根据实际情况在该层位增加采样点。一般</w:t>
            </w:r>
            <w:r>
              <w:rPr>
                <w:color w:val="auto"/>
                <w:spacing w:val="14"/>
                <w:sz w:val="21"/>
                <w:highlight w:val="none"/>
              </w:rPr>
              <w:t>情况</w:t>
            </w:r>
            <w:r>
              <w:rPr>
                <w:color w:val="auto"/>
                <w:sz w:val="21"/>
                <w:highlight w:val="none"/>
              </w:rPr>
              <w:t>下，最大深度应当至未受污染的深度为止。</w:t>
            </w:r>
            <w:r>
              <w:rPr>
                <w:b/>
                <w:bCs/>
                <w:color w:val="auto"/>
                <w:sz w:val="21"/>
                <w:highlight w:val="none"/>
              </w:rPr>
              <w:t>（2）地下水采样深度：</w:t>
            </w:r>
            <w:r>
              <w:rPr>
                <w:color w:val="auto"/>
                <w:sz w:val="21"/>
                <w:highlight w:val="none"/>
              </w:rPr>
              <w:t>应根据监测目的、所处含水层类型及其埋深和相对厚度来确定监测井的深度，且不穿透浅层地下水底板。一般情况下采样深度应当在监测井水面 0.5m 以下。对于低密度非水溶性有机污染物，监测点位应当设置在含水层顶部；对于高密度非水溶性有机污染物，监测点位应当设置在含水层底部和不透水层顶部。</w:t>
            </w:r>
          </w:p>
        </w:tc>
        <w:tc>
          <w:tcPr>
            <w:tcW w:w="951" w:type="dxa"/>
            <w:tcBorders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950" w:type="dxa"/>
            <w:tcBorders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876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42" w:lineRule="exact"/>
              <w:ind w:left="114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42" w:lineRule="exact"/>
              <w:ind w:left="114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>
            <w:pPr>
              <w:pStyle w:val="14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>
            <w:pPr>
              <w:pStyle w:val="14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>
            <w:pPr>
              <w:pStyle w:val="14"/>
              <w:spacing w:before="2"/>
              <w:rPr>
                <w:rFonts w:ascii="仿宋_GB2312"/>
                <w:b/>
                <w:color w:val="auto"/>
                <w:sz w:val="14"/>
                <w:highlight w:val="none"/>
              </w:rPr>
            </w:pPr>
          </w:p>
          <w:p>
            <w:pPr>
              <w:pStyle w:val="14"/>
              <w:ind w:left="13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7</w:t>
            </w: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>
            <w:pPr>
              <w:pStyle w:val="14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>
            <w:pPr>
              <w:pStyle w:val="14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>
            <w:pPr>
              <w:pStyle w:val="14"/>
              <w:spacing w:before="2"/>
              <w:rPr>
                <w:rFonts w:ascii="仿宋_GB2312"/>
                <w:b/>
                <w:color w:val="auto"/>
                <w:sz w:val="14"/>
                <w:highlight w:val="none"/>
              </w:rPr>
            </w:pPr>
          </w:p>
          <w:p>
            <w:pPr>
              <w:pStyle w:val="14"/>
              <w:ind w:left="143" w:right="123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采样深度</w:t>
            </w:r>
          </w:p>
        </w:tc>
        <w:tc>
          <w:tcPr>
            <w:tcW w:w="6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42" w:lineRule="exact"/>
              <w:ind w:left="114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>
            <w:pPr>
              <w:pStyle w:val="14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>
            <w:pPr>
              <w:pStyle w:val="14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>
            <w:pPr>
              <w:pStyle w:val="14"/>
              <w:spacing w:before="2"/>
              <w:rPr>
                <w:rFonts w:ascii="仿宋_GB2312"/>
                <w:b/>
                <w:color w:val="auto"/>
                <w:sz w:val="14"/>
                <w:highlight w:val="none"/>
              </w:rPr>
            </w:pPr>
          </w:p>
          <w:p>
            <w:pPr>
              <w:pStyle w:val="14"/>
              <w:ind w:right="90"/>
              <w:jc w:val="right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□是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>
            <w:pPr>
              <w:pStyle w:val="14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>
            <w:pPr>
              <w:pStyle w:val="14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>
            <w:pPr>
              <w:pStyle w:val="14"/>
              <w:spacing w:before="2"/>
              <w:rPr>
                <w:rFonts w:ascii="仿宋_GB2312"/>
                <w:b/>
                <w:color w:val="auto"/>
                <w:sz w:val="14"/>
                <w:highlight w:val="none"/>
              </w:rPr>
            </w:pPr>
          </w:p>
          <w:p>
            <w:pPr>
              <w:pStyle w:val="14"/>
              <w:ind w:left="118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□否</w:t>
            </w: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42" w:lineRule="exact"/>
              <w:ind w:left="114"/>
              <w:rPr>
                <w:b/>
                <w:color w:val="auto"/>
                <w:sz w:val="21"/>
                <w:highlight w:val="none"/>
              </w:rPr>
            </w:pP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42" w:lineRule="exact"/>
              <w:ind w:left="114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42" w:lineRule="exact"/>
              <w:ind w:left="114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42" w:lineRule="exact"/>
              <w:ind w:left="158" w:right="138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第二阶段</w:t>
            </w: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42" w:lineRule="exact"/>
              <w:ind w:left="114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42" w:lineRule="exact"/>
              <w:ind w:left="158" w:right="138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土壤污染</w:t>
            </w: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42" w:lineRule="exact"/>
              <w:ind w:left="114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42" w:lineRule="exact"/>
              <w:ind w:left="158" w:right="139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状况调查-</w:t>
            </w: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42" w:lineRule="exact"/>
              <w:ind w:left="114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40" w:lineRule="exact"/>
              <w:ind w:left="158" w:right="138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初步采样</w:t>
            </w: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6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6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14" w:lineRule="exact"/>
              <w:ind w:left="158" w:right="138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分析</w:t>
            </w: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6"/>
                <w:highlight w:val="none"/>
              </w:rPr>
            </w:pPr>
          </w:p>
        </w:tc>
        <w:tc>
          <w:tcPr>
            <w:tcW w:w="6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6"/>
                <w:highlight w:val="none"/>
              </w:rPr>
            </w:pP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6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6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686" w:type="dxa"/>
            <w:tcBorders>
              <w:top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64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>
            <w:pPr>
              <w:pStyle w:val="14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>
            <w:pPr>
              <w:pStyle w:val="14"/>
              <w:spacing w:before="175" w:line="240" w:lineRule="exact"/>
              <w:ind w:left="114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检测项目设置是否全面合理。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876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32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pacing w:val="-15"/>
                <w:w w:val="99"/>
                <w:sz w:val="21"/>
                <w:highlight w:val="none"/>
              </w:rPr>
              <w:t>要点说明：</w:t>
            </w:r>
            <w:r>
              <w:rPr>
                <w:b/>
                <w:color w:val="auto"/>
                <w:spacing w:val="6"/>
                <w:w w:val="99"/>
                <w:sz w:val="21"/>
                <w:highlight w:val="none"/>
              </w:rPr>
              <w:t>（</w:t>
            </w:r>
            <w:r>
              <w:rPr>
                <w:b/>
                <w:color w:val="auto"/>
                <w:spacing w:val="7"/>
                <w:w w:val="99"/>
                <w:sz w:val="21"/>
                <w:highlight w:val="none"/>
              </w:rPr>
              <w:t>1）</w:t>
            </w:r>
            <w:r>
              <w:rPr>
                <w:b/>
                <w:color w:val="auto"/>
                <w:spacing w:val="6"/>
                <w:w w:val="99"/>
                <w:sz w:val="21"/>
                <w:highlight w:val="none"/>
              </w:rPr>
              <w:t>土壤检测项目</w:t>
            </w:r>
            <w:r>
              <w:rPr>
                <w:color w:val="auto"/>
                <w:spacing w:val="6"/>
                <w:sz w:val="21"/>
                <w:highlight w:val="none"/>
              </w:rPr>
              <w:t>原则上应当根据保守原则确定，应当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32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包含《土壤环境质量 建设用地土壤污染风险管控标准（</w:t>
            </w:r>
            <w:r>
              <w:rPr>
                <w:color w:val="auto"/>
                <w:spacing w:val="1"/>
                <w:sz w:val="21"/>
                <w:highlight w:val="none"/>
              </w:rPr>
              <w:t>试行</w:t>
            </w:r>
            <w:r>
              <w:rPr>
                <w:color w:val="auto"/>
                <w:spacing w:val="-102"/>
                <w:sz w:val="21"/>
                <w:highlight w:val="none"/>
              </w:rPr>
              <w:t>）》</w:t>
            </w:r>
            <w:r>
              <w:rPr>
                <w:color w:val="auto"/>
                <w:sz w:val="21"/>
                <w:highlight w:val="none"/>
              </w:rPr>
              <w:t>（GB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before="128"/>
              <w:ind w:left="13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8</w:t>
            </w: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before="128"/>
              <w:ind w:left="143" w:right="123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检测项目</w:t>
            </w: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61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36600—2018）</w:t>
            </w:r>
            <w:r>
              <w:rPr>
                <w:color w:val="auto"/>
                <w:spacing w:val="2"/>
                <w:sz w:val="21"/>
                <w:highlight w:val="none"/>
              </w:rPr>
              <w:t xml:space="preserve">中的 </w:t>
            </w:r>
            <w:r>
              <w:rPr>
                <w:color w:val="auto"/>
                <w:sz w:val="21"/>
                <w:highlight w:val="none"/>
              </w:rPr>
              <w:t>45</w:t>
            </w:r>
            <w:r>
              <w:rPr>
                <w:color w:val="auto"/>
                <w:spacing w:val="3"/>
                <w:sz w:val="21"/>
                <w:highlight w:val="none"/>
              </w:rPr>
              <w:t xml:space="preserve"> 项基本项目和地方相关标准中的基本项目，</w:t>
            </w:r>
          </w:p>
          <w:p>
            <w:pPr>
              <w:pStyle w:val="14"/>
              <w:spacing w:before="3" w:line="241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pacing w:val="6"/>
                <w:sz w:val="21"/>
                <w:highlight w:val="none"/>
              </w:rPr>
              <w:t>以及第一阶段土壤污染状况调查识别出的其他特征污染物</w:t>
            </w:r>
            <w:r>
              <w:rPr>
                <w:color w:val="auto"/>
                <w:spacing w:val="7"/>
                <w:sz w:val="21"/>
                <w:highlight w:val="none"/>
              </w:rPr>
              <w:t>（</w:t>
            </w:r>
            <w:r>
              <w:rPr>
                <w:color w:val="auto"/>
                <w:spacing w:val="4"/>
                <w:sz w:val="21"/>
                <w:highlight w:val="none"/>
              </w:rPr>
              <w:t>包括可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spacing w:before="128"/>
              <w:ind w:right="90"/>
              <w:jc w:val="right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□是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before="128"/>
              <w:ind w:left="118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□否</w:t>
            </w: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32" w:lineRule="exact"/>
              <w:ind w:left="114"/>
              <w:rPr>
                <w:b/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能存在的污染物及其在环境中转化或降解产物</w:t>
            </w:r>
            <w:r>
              <w:rPr>
                <w:color w:val="auto"/>
                <w:spacing w:val="-101"/>
                <w:sz w:val="21"/>
                <w:highlight w:val="none"/>
              </w:rPr>
              <w:t>）</w:t>
            </w:r>
            <w:r>
              <w:rPr>
                <w:color w:val="auto"/>
                <w:spacing w:val="-102"/>
                <w:sz w:val="21"/>
                <w:highlight w:val="none"/>
              </w:rPr>
              <w:t>。</w:t>
            </w:r>
            <w:r>
              <w:rPr>
                <w:b/>
                <w:color w:val="auto"/>
                <w:spacing w:val="3"/>
                <w:sz w:val="21"/>
                <w:highlight w:val="none"/>
              </w:rPr>
              <w:t>（2）</w:t>
            </w:r>
            <w:r>
              <w:rPr>
                <w:b/>
                <w:color w:val="auto"/>
                <w:spacing w:val="1"/>
                <w:sz w:val="21"/>
                <w:highlight w:val="none"/>
              </w:rPr>
              <w:t>地下水检测项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32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目</w:t>
            </w:r>
            <w:r>
              <w:rPr>
                <w:color w:val="auto"/>
                <w:sz w:val="21"/>
                <w:highlight w:val="none"/>
              </w:rPr>
              <w:t>至少应当包含特征污染物。未完全包含第一阶段土壤污染状况调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686" w:type="dxa"/>
            <w:tcBorders>
              <w:top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61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查确定的特征污染物，需给出合理理由。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right w:val="nil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</w:tbl>
    <w:p>
      <w:pPr>
        <w:rPr>
          <w:color w:val="auto"/>
          <w:sz w:val="2"/>
          <w:szCs w:val="2"/>
          <w:highlight w:val="none"/>
        </w:rPr>
        <w:sectPr>
          <w:footerReference r:id="rId5" w:type="default"/>
          <w:pgSz w:w="16840" w:h="11910" w:orient="landscape"/>
          <w:pgMar w:top="1417" w:right="1134" w:bottom="1134" w:left="1134" w:header="1134" w:footer="1134" w:gutter="0"/>
          <w:pgNumType w:fmt="decimal"/>
          <w:cols w:space="720" w:num="1"/>
          <w:rtlGutter w:val="0"/>
          <w:docGrid w:linePitch="0" w:charSpace="0"/>
        </w:sectPr>
      </w:pPr>
    </w:p>
    <w:tbl>
      <w:tblPr>
        <w:tblStyle w:val="9"/>
        <w:tblpPr w:leftFromText="180" w:rightFromText="180" w:vertAnchor="text" w:horzAnchor="page" w:tblpX="1819" w:tblpY="-16"/>
        <w:tblOverlap w:val="never"/>
        <w:tblW w:w="1342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1298"/>
        <w:gridCol w:w="1162"/>
        <w:gridCol w:w="6497"/>
        <w:gridCol w:w="1901"/>
        <w:gridCol w:w="187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091" w:hRule="atLeast"/>
        </w:trPr>
        <w:tc>
          <w:tcPr>
            <w:tcW w:w="68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>
            <w:pPr>
              <w:pStyle w:val="14"/>
              <w:spacing w:before="0" w:line="280" w:lineRule="exact"/>
              <w:ind w:left="289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9</w:t>
            </w:r>
          </w:p>
        </w:tc>
        <w:tc>
          <w:tcPr>
            <w:tcW w:w="129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>
            <w:pPr>
              <w:pStyle w:val="14"/>
              <w:spacing w:before="0" w:line="280" w:lineRule="exact"/>
              <w:rPr>
                <w:rFonts w:ascii="仿宋_GB2312"/>
                <w:b/>
                <w:color w:val="auto"/>
                <w:sz w:val="23"/>
                <w:highlight w:val="none"/>
              </w:rPr>
            </w:pPr>
          </w:p>
          <w:p>
            <w:pPr>
              <w:pStyle w:val="14"/>
              <w:spacing w:line="280" w:lineRule="exact"/>
              <w:ind w:left="178" w:right="157" w:firstLine="1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第二阶段土壤污染状况调查- 详细采样分析/</w:t>
            </w:r>
          </w:p>
          <w:p>
            <w:pPr>
              <w:pStyle w:val="14"/>
              <w:spacing w:before="0" w:line="280" w:lineRule="exact"/>
              <w:ind w:left="231" w:right="209"/>
              <w:jc w:val="both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第三阶段土壤污染状况调查</w:t>
            </w:r>
          </w:p>
        </w:tc>
        <w:tc>
          <w:tcPr>
            <w:tcW w:w="11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>
            <w:pPr>
              <w:pStyle w:val="14"/>
              <w:spacing w:before="0" w:line="280" w:lineRule="exact"/>
              <w:ind w:left="143" w:right="123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点位数量</w:t>
            </w:r>
          </w:p>
        </w:tc>
        <w:tc>
          <w:tcPr>
            <w:tcW w:w="649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before="0" w:line="280" w:lineRule="exact"/>
              <w:ind w:left="114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点位数量是否满足要求。</w:t>
            </w:r>
          </w:p>
          <w:p>
            <w:pPr>
              <w:pStyle w:val="14"/>
              <w:spacing w:before="0" w:line="280" w:lineRule="exact"/>
              <w:ind w:left="114" w:right="80"/>
              <w:rPr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pacing w:val="7"/>
                <w:sz w:val="21"/>
                <w:highlight w:val="none"/>
              </w:rPr>
              <w:t>要点说明：</w:t>
            </w:r>
            <w:r>
              <w:rPr>
                <w:color w:val="auto"/>
                <w:spacing w:val="5"/>
                <w:sz w:val="21"/>
                <w:highlight w:val="none"/>
              </w:rPr>
              <w:t>土壤点位布设，对于需要划定污染边界范围的区域，采</w:t>
            </w:r>
            <w:r>
              <w:rPr>
                <w:color w:val="auto"/>
                <w:spacing w:val="-7"/>
                <w:sz w:val="21"/>
                <w:highlight w:val="none"/>
              </w:rPr>
              <w:t xml:space="preserve">样单元面积不大于 </w:t>
            </w:r>
            <w:r>
              <w:rPr>
                <w:color w:val="auto"/>
                <w:sz w:val="21"/>
                <w:highlight w:val="none"/>
              </w:rPr>
              <w:t>1600 m</w:t>
            </w:r>
            <w:r>
              <w:rPr>
                <w:color w:val="auto"/>
                <w:position w:val="11"/>
                <w:sz w:val="11"/>
                <w:highlight w:val="none"/>
              </w:rPr>
              <w:t>2</w:t>
            </w:r>
            <w:r>
              <w:rPr>
                <w:color w:val="auto"/>
                <w:sz w:val="21"/>
                <w:highlight w:val="none"/>
              </w:rPr>
              <w:t>（40 m×40 m</w:t>
            </w:r>
            <w:r>
              <w:rPr>
                <w:color w:val="auto"/>
                <w:spacing w:val="-18"/>
                <w:sz w:val="21"/>
                <w:highlight w:val="none"/>
              </w:rPr>
              <w:t xml:space="preserve"> 网格</w:t>
            </w:r>
            <w:r>
              <w:rPr>
                <w:color w:val="auto"/>
                <w:spacing w:val="-105"/>
                <w:sz w:val="21"/>
                <w:highlight w:val="none"/>
              </w:rPr>
              <w:t>）</w:t>
            </w:r>
            <w:r>
              <w:rPr>
                <w:color w:val="auto"/>
                <w:sz w:val="21"/>
                <w:highlight w:val="none"/>
              </w:rPr>
              <w:t>。</w:t>
            </w:r>
          </w:p>
          <w:p>
            <w:pPr>
              <w:pStyle w:val="14"/>
              <w:spacing w:before="0" w:line="280" w:lineRule="exact"/>
              <w:ind w:left="114"/>
              <w:jc w:val="both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pacing w:val="9"/>
                <w:sz w:val="21"/>
                <w:highlight w:val="none"/>
              </w:rPr>
              <w:t>属于《污染地块土壤环境管理办法</w:t>
            </w:r>
            <w:r>
              <w:rPr>
                <w:color w:val="auto"/>
                <w:spacing w:val="10"/>
                <w:sz w:val="21"/>
                <w:highlight w:val="none"/>
              </w:rPr>
              <w:t>（试行</w:t>
            </w:r>
            <w:r>
              <w:rPr>
                <w:color w:val="auto"/>
                <w:spacing w:val="-95"/>
                <w:sz w:val="21"/>
                <w:highlight w:val="none"/>
              </w:rPr>
              <w:t>）》</w:t>
            </w:r>
            <w:r>
              <w:rPr>
                <w:color w:val="auto"/>
                <w:spacing w:val="10"/>
                <w:sz w:val="21"/>
                <w:highlight w:val="none"/>
              </w:rPr>
              <w:t>（</w:t>
            </w:r>
            <w:r>
              <w:rPr>
                <w:color w:val="auto"/>
                <w:spacing w:val="8"/>
                <w:sz w:val="21"/>
                <w:highlight w:val="none"/>
              </w:rPr>
              <w:t xml:space="preserve">原环境保护部 </w:t>
            </w:r>
            <w:r>
              <w:rPr>
                <w:color w:val="auto"/>
                <w:sz w:val="21"/>
                <w:highlight w:val="none"/>
              </w:rPr>
              <w:t>2016</w:t>
            </w:r>
          </w:p>
          <w:p>
            <w:pPr>
              <w:pStyle w:val="14"/>
              <w:spacing w:before="0" w:line="280" w:lineRule="exact"/>
              <w:ind w:left="114" w:right="89"/>
              <w:jc w:val="both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pacing w:val="-6"/>
                <w:sz w:val="21"/>
                <w:highlight w:val="none"/>
              </w:rPr>
              <w:t xml:space="preserve">第 </w:t>
            </w:r>
            <w:r>
              <w:rPr>
                <w:color w:val="auto"/>
                <w:sz w:val="21"/>
                <w:highlight w:val="none"/>
              </w:rPr>
              <w:t>42</w:t>
            </w:r>
            <w:r>
              <w:rPr>
                <w:color w:val="auto"/>
                <w:spacing w:val="-4"/>
                <w:sz w:val="21"/>
                <w:highlight w:val="none"/>
              </w:rPr>
              <w:t xml:space="preserve"> 号令</w:t>
            </w:r>
            <w:r>
              <w:rPr>
                <w:color w:val="auto"/>
                <w:sz w:val="21"/>
                <w:highlight w:val="none"/>
              </w:rPr>
              <w:t>）</w:t>
            </w:r>
            <w:r>
              <w:rPr>
                <w:color w:val="auto"/>
                <w:spacing w:val="-1"/>
                <w:sz w:val="21"/>
                <w:highlight w:val="none"/>
              </w:rPr>
              <w:t>规定的疑似污染地块，根据污染识别和初步采样分析筛</w:t>
            </w:r>
            <w:r>
              <w:rPr>
                <w:color w:val="auto"/>
                <w:spacing w:val="-3"/>
                <w:sz w:val="21"/>
                <w:highlight w:val="none"/>
              </w:rPr>
              <w:t xml:space="preserve">选的涉嫌污染的区域，土壤采样点位数每 </w:t>
            </w:r>
            <w:r>
              <w:rPr>
                <w:color w:val="auto"/>
                <w:sz w:val="21"/>
                <w:highlight w:val="none"/>
              </w:rPr>
              <w:t>400m</w:t>
            </w:r>
            <w:r>
              <w:rPr>
                <w:color w:val="auto"/>
                <w:position w:val="11"/>
                <w:sz w:val="11"/>
                <w:highlight w:val="none"/>
              </w:rPr>
              <w:t xml:space="preserve">2 </w:t>
            </w:r>
            <w:r>
              <w:rPr>
                <w:color w:val="auto"/>
                <w:spacing w:val="-13"/>
                <w:sz w:val="21"/>
                <w:highlight w:val="none"/>
              </w:rPr>
              <w:t xml:space="preserve">不少于 </w:t>
            </w:r>
            <w:r>
              <w:rPr>
                <w:color w:val="auto"/>
                <w:sz w:val="21"/>
                <w:highlight w:val="none"/>
              </w:rPr>
              <w:t>1</w:t>
            </w:r>
            <w:r>
              <w:rPr>
                <w:color w:val="auto"/>
                <w:spacing w:val="-5"/>
                <w:sz w:val="21"/>
                <w:highlight w:val="none"/>
              </w:rPr>
              <w:t xml:space="preserve"> 个，其他区</w:t>
            </w:r>
            <w:r>
              <w:rPr>
                <w:color w:val="auto"/>
                <w:spacing w:val="-22"/>
                <w:sz w:val="21"/>
                <w:highlight w:val="none"/>
              </w:rPr>
              <w:t xml:space="preserve">域每 </w:t>
            </w:r>
            <w:r>
              <w:rPr>
                <w:color w:val="auto"/>
                <w:sz w:val="21"/>
                <w:highlight w:val="none"/>
              </w:rPr>
              <w:t>1600m</w:t>
            </w:r>
            <w:r>
              <w:rPr>
                <w:color w:val="auto"/>
                <w:position w:val="11"/>
                <w:sz w:val="11"/>
                <w:highlight w:val="none"/>
              </w:rPr>
              <w:t xml:space="preserve">2 </w:t>
            </w:r>
            <w:r>
              <w:rPr>
                <w:color w:val="auto"/>
                <w:spacing w:val="-14"/>
                <w:sz w:val="21"/>
                <w:highlight w:val="none"/>
              </w:rPr>
              <w:t xml:space="preserve">不少于 </w:t>
            </w:r>
            <w:r>
              <w:rPr>
                <w:color w:val="auto"/>
                <w:sz w:val="21"/>
                <w:highlight w:val="none"/>
              </w:rPr>
              <w:t>1</w:t>
            </w:r>
            <w:r>
              <w:rPr>
                <w:color w:val="auto"/>
                <w:spacing w:val="-12"/>
                <w:sz w:val="21"/>
                <w:highlight w:val="none"/>
              </w:rPr>
              <w:t xml:space="preserve"> 个；地下水采样点位数每 </w:t>
            </w:r>
            <w:r>
              <w:rPr>
                <w:color w:val="auto"/>
                <w:sz w:val="21"/>
                <w:highlight w:val="none"/>
              </w:rPr>
              <w:t>6400m</w:t>
            </w:r>
            <w:r>
              <w:rPr>
                <w:color w:val="auto"/>
                <w:position w:val="11"/>
                <w:sz w:val="11"/>
                <w:highlight w:val="none"/>
              </w:rPr>
              <w:t xml:space="preserve">2 </w:t>
            </w:r>
            <w:r>
              <w:rPr>
                <w:color w:val="auto"/>
                <w:spacing w:val="-14"/>
                <w:sz w:val="21"/>
                <w:highlight w:val="none"/>
              </w:rPr>
              <w:t xml:space="preserve">不少于 </w:t>
            </w:r>
            <w:r>
              <w:rPr>
                <w:color w:val="auto"/>
                <w:sz w:val="21"/>
                <w:highlight w:val="none"/>
              </w:rPr>
              <w:t>1</w:t>
            </w:r>
            <w:r>
              <w:rPr>
                <w:color w:val="auto"/>
                <w:spacing w:val="-18"/>
                <w:sz w:val="21"/>
                <w:highlight w:val="none"/>
              </w:rPr>
              <w:t xml:space="preserve"> 个。</w:t>
            </w:r>
          </w:p>
        </w:tc>
        <w:tc>
          <w:tcPr>
            <w:tcW w:w="19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>
            <w:pPr>
              <w:pStyle w:val="14"/>
              <w:tabs>
                <w:tab w:val="left" w:pos="1064"/>
              </w:tabs>
              <w:spacing w:before="0" w:line="280" w:lineRule="exact"/>
              <w:ind w:left="433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□是</w:t>
            </w:r>
            <w:r>
              <w:rPr>
                <w:color w:val="auto"/>
                <w:sz w:val="21"/>
                <w:highlight w:val="none"/>
              </w:rPr>
              <w:tab/>
            </w:r>
            <w:r>
              <w:rPr>
                <w:color w:val="auto"/>
                <w:sz w:val="21"/>
                <w:highlight w:val="none"/>
              </w:rPr>
              <w:t>□否</w:t>
            </w:r>
          </w:p>
        </w:tc>
        <w:tc>
          <w:tcPr>
            <w:tcW w:w="18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80" w:lineRule="exact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6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>
            <w:pPr>
              <w:pStyle w:val="14"/>
              <w:spacing w:before="0" w:line="280" w:lineRule="exact"/>
              <w:rPr>
                <w:rFonts w:ascii="仿宋_GB2312"/>
                <w:b/>
                <w:color w:val="auto"/>
                <w:highlight w:val="none"/>
              </w:rPr>
            </w:pPr>
          </w:p>
          <w:p>
            <w:pPr>
              <w:pStyle w:val="14"/>
              <w:spacing w:line="280" w:lineRule="exact"/>
              <w:ind w:left="237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10</w:t>
            </w:r>
          </w:p>
        </w:tc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80" w:lineRule="exact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>
            <w:pPr>
              <w:pStyle w:val="14"/>
              <w:spacing w:before="0" w:line="280" w:lineRule="exact"/>
              <w:rPr>
                <w:rFonts w:ascii="仿宋_GB2312"/>
                <w:b/>
                <w:color w:val="auto"/>
                <w:highlight w:val="none"/>
              </w:rPr>
            </w:pPr>
          </w:p>
          <w:p>
            <w:pPr>
              <w:pStyle w:val="14"/>
              <w:spacing w:line="280" w:lineRule="exact"/>
              <w:ind w:left="143" w:right="123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布点位置</w:t>
            </w:r>
          </w:p>
        </w:tc>
        <w:tc>
          <w:tcPr>
            <w:tcW w:w="6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80" w:lineRule="exact"/>
              <w:ind w:left="114" w:right="83"/>
              <w:jc w:val="both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布点位置是否合理。</w:t>
            </w:r>
          </w:p>
          <w:p>
            <w:pPr>
              <w:pStyle w:val="14"/>
              <w:spacing w:before="0" w:line="280" w:lineRule="exact"/>
              <w:ind w:left="114" w:right="83"/>
              <w:jc w:val="both"/>
              <w:rPr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w w:val="99"/>
                <w:sz w:val="21"/>
                <w:highlight w:val="none"/>
              </w:rPr>
              <w:t>要点说明：（1）土壤点位：</w:t>
            </w:r>
            <w:r>
              <w:rPr>
                <w:color w:val="auto"/>
                <w:sz w:val="21"/>
                <w:highlight w:val="none"/>
              </w:rPr>
              <w:t>至少应当涵盖初步采样分析中污染物含量超过筛选值的区域。</w:t>
            </w:r>
            <w:r>
              <w:rPr>
                <w:b/>
                <w:color w:val="auto"/>
                <w:sz w:val="21"/>
                <w:highlight w:val="none"/>
              </w:rPr>
              <w:t>（2）地下水点位：</w:t>
            </w:r>
            <w:r>
              <w:rPr>
                <w:color w:val="auto"/>
                <w:sz w:val="21"/>
                <w:highlight w:val="none"/>
              </w:rPr>
              <w:t>确定地下水污染程度和范围时，应当参照详细采样分析的土壤点位要求，根据实际情况，在污染较重区域加密布点。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>
            <w:pPr>
              <w:pStyle w:val="14"/>
              <w:spacing w:before="0" w:line="280" w:lineRule="exact"/>
              <w:rPr>
                <w:rFonts w:ascii="仿宋_GB2312"/>
                <w:b/>
                <w:color w:val="auto"/>
                <w:highlight w:val="none"/>
              </w:rPr>
            </w:pPr>
          </w:p>
          <w:p>
            <w:pPr>
              <w:pStyle w:val="14"/>
              <w:tabs>
                <w:tab w:val="left" w:pos="1064"/>
              </w:tabs>
              <w:spacing w:line="280" w:lineRule="exact"/>
              <w:ind w:left="433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□是</w:t>
            </w:r>
            <w:r>
              <w:rPr>
                <w:color w:val="auto"/>
                <w:sz w:val="21"/>
                <w:highlight w:val="none"/>
              </w:rPr>
              <w:tab/>
            </w:r>
            <w:r>
              <w:rPr>
                <w:color w:val="auto"/>
                <w:sz w:val="21"/>
                <w:highlight w:val="none"/>
              </w:rPr>
              <w:t>□否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80" w:lineRule="exact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908" w:hRule="atLeast"/>
        </w:trPr>
        <w:tc>
          <w:tcPr>
            <w:tcW w:w="6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>
            <w:pPr>
              <w:pStyle w:val="14"/>
              <w:spacing w:before="0" w:line="280" w:lineRule="exact"/>
              <w:rPr>
                <w:rFonts w:ascii="仿宋_GB2312"/>
                <w:b/>
                <w:color w:val="auto"/>
                <w:sz w:val="23"/>
                <w:highlight w:val="none"/>
              </w:rPr>
            </w:pPr>
          </w:p>
          <w:p>
            <w:pPr>
              <w:pStyle w:val="14"/>
              <w:spacing w:line="280" w:lineRule="exact"/>
              <w:ind w:left="237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11</w:t>
            </w:r>
          </w:p>
        </w:tc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80" w:lineRule="exact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>
            <w:pPr>
              <w:pStyle w:val="14"/>
              <w:spacing w:before="0" w:line="280" w:lineRule="exact"/>
              <w:rPr>
                <w:rFonts w:ascii="仿宋_GB2312"/>
                <w:b/>
                <w:color w:val="auto"/>
                <w:sz w:val="23"/>
                <w:highlight w:val="none"/>
              </w:rPr>
            </w:pPr>
          </w:p>
          <w:p>
            <w:pPr>
              <w:pStyle w:val="14"/>
              <w:spacing w:line="280" w:lineRule="exact"/>
              <w:ind w:left="143" w:right="123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采样深度</w:t>
            </w:r>
          </w:p>
        </w:tc>
        <w:tc>
          <w:tcPr>
            <w:tcW w:w="6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before="0" w:line="280" w:lineRule="exact"/>
              <w:ind w:left="114" w:right="75" w:hanging="1"/>
              <w:jc w:val="both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采样深度设置是否科学。</w:t>
            </w:r>
          </w:p>
          <w:p>
            <w:pPr>
              <w:pStyle w:val="14"/>
              <w:spacing w:before="0" w:line="280" w:lineRule="exact"/>
              <w:ind w:left="114" w:right="75" w:hanging="1"/>
              <w:jc w:val="both"/>
              <w:rPr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w w:val="99"/>
                <w:sz w:val="21"/>
                <w:highlight w:val="none"/>
              </w:rPr>
              <w:t>要点说明：（1）土壤采样深度：</w:t>
            </w:r>
            <w:r>
              <w:rPr>
                <w:color w:val="auto"/>
                <w:sz w:val="21"/>
                <w:highlight w:val="none"/>
              </w:rPr>
              <w:t>深度和间隔应当根据初步采样分析的结果确定，最大深度应当大于初步采样分析发现的超标深度，至未受污染的深度为止。</w:t>
            </w:r>
            <w:r>
              <w:rPr>
                <w:b/>
                <w:color w:val="auto"/>
                <w:sz w:val="21"/>
                <w:highlight w:val="none"/>
              </w:rPr>
              <w:t>（2）地下水采样深度：</w:t>
            </w:r>
            <w:r>
              <w:rPr>
                <w:color w:val="auto"/>
                <w:sz w:val="21"/>
                <w:highlight w:val="none"/>
              </w:rPr>
              <w:t>原则上应与初步采样分析保持一致。若前期监测的浅层地下水污染非常严重，且存在深层地下水时，可在做好分层止水条件下增加一口深井至深层地下水，以评价深层地下水的污染情况。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>
            <w:pPr>
              <w:pStyle w:val="14"/>
              <w:spacing w:before="0" w:line="280" w:lineRule="exact"/>
              <w:rPr>
                <w:rFonts w:ascii="仿宋_GB2312"/>
                <w:b/>
                <w:color w:val="auto"/>
                <w:sz w:val="23"/>
                <w:highlight w:val="none"/>
              </w:rPr>
            </w:pPr>
          </w:p>
          <w:p>
            <w:pPr>
              <w:pStyle w:val="14"/>
              <w:tabs>
                <w:tab w:val="left" w:pos="1064"/>
              </w:tabs>
              <w:spacing w:before="0" w:line="280" w:lineRule="exact"/>
              <w:ind w:left="433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□是</w:t>
            </w:r>
            <w:r>
              <w:rPr>
                <w:color w:val="auto"/>
                <w:sz w:val="21"/>
                <w:highlight w:val="none"/>
              </w:rPr>
              <w:tab/>
            </w:r>
            <w:r>
              <w:rPr>
                <w:color w:val="auto"/>
                <w:sz w:val="21"/>
                <w:highlight w:val="none"/>
              </w:rPr>
              <w:t>□否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80" w:lineRule="exact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000" w:hRule="atLeast"/>
        </w:trPr>
        <w:tc>
          <w:tcPr>
            <w:tcW w:w="6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before="0" w:line="280" w:lineRule="exact"/>
              <w:rPr>
                <w:rFonts w:ascii="仿宋_GB2312"/>
                <w:b/>
                <w:color w:val="auto"/>
                <w:sz w:val="28"/>
                <w:highlight w:val="none"/>
              </w:rPr>
            </w:pPr>
          </w:p>
          <w:p>
            <w:pPr>
              <w:pStyle w:val="14"/>
              <w:spacing w:line="280" w:lineRule="exact"/>
              <w:ind w:left="237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12</w:t>
            </w:r>
          </w:p>
        </w:tc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80" w:lineRule="exact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before="0" w:line="280" w:lineRule="exact"/>
              <w:rPr>
                <w:rFonts w:ascii="仿宋_GB2312"/>
                <w:b/>
                <w:color w:val="auto"/>
                <w:sz w:val="28"/>
                <w:highlight w:val="none"/>
              </w:rPr>
            </w:pPr>
          </w:p>
          <w:p>
            <w:pPr>
              <w:pStyle w:val="14"/>
              <w:spacing w:line="280" w:lineRule="exact"/>
              <w:ind w:left="143" w:right="123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检测项目</w:t>
            </w:r>
          </w:p>
        </w:tc>
        <w:tc>
          <w:tcPr>
            <w:tcW w:w="6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before="0" w:line="280" w:lineRule="exact"/>
              <w:ind w:left="114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检测项目设置是否全面合理。</w:t>
            </w:r>
          </w:p>
          <w:p>
            <w:pPr>
              <w:pStyle w:val="14"/>
              <w:spacing w:before="0" w:line="280" w:lineRule="exact"/>
              <w:ind w:left="114" w:right="80"/>
              <w:rPr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要点说明：</w:t>
            </w:r>
            <w:r>
              <w:rPr>
                <w:color w:val="auto"/>
                <w:sz w:val="21"/>
                <w:highlight w:val="none"/>
              </w:rPr>
              <w:t>应当包含初步采样分析发现的全部超标污染物，必要时考虑初步采样分析未超标的特征污染物。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before="0" w:line="280" w:lineRule="exact"/>
              <w:rPr>
                <w:rFonts w:ascii="仿宋_GB2312"/>
                <w:b/>
                <w:color w:val="auto"/>
                <w:sz w:val="28"/>
                <w:highlight w:val="none"/>
              </w:rPr>
            </w:pPr>
          </w:p>
          <w:p>
            <w:pPr>
              <w:pStyle w:val="14"/>
              <w:tabs>
                <w:tab w:val="left" w:pos="1064"/>
              </w:tabs>
              <w:spacing w:line="280" w:lineRule="exact"/>
              <w:ind w:left="433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□是</w:t>
            </w:r>
            <w:r>
              <w:rPr>
                <w:color w:val="auto"/>
                <w:sz w:val="21"/>
                <w:highlight w:val="none"/>
              </w:rPr>
              <w:tab/>
            </w:r>
            <w:r>
              <w:rPr>
                <w:color w:val="auto"/>
                <w:sz w:val="21"/>
                <w:highlight w:val="none"/>
              </w:rPr>
              <w:t>□否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80" w:lineRule="exact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90" w:hRule="atLeast"/>
        </w:trPr>
        <w:tc>
          <w:tcPr>
            <w:tcW w:w="198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before="0" w:line="280" w:lineRule="exact"/>
              <w:ind w:left="359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质量评价结论</w:t>
            </w:r>
          </w:p>
        </w:tc>
        <w:tc>
          <w:tcPr>
            <w:tcW w:w="114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4"/>
              <w:tabs>
                <w:tab w:val="left" w:pos="3893"/>
              </w:tabs>
              <w:spacing w:before="0" w:line="280" w:lineRule="exact"/>
              <w:ind w:left="113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□通过（全部检查项目均判定为是）</w:t>
            </w:r>
            <w:r>
              <w:rPr>
                <w:color w:val="auto"/>
                <w:sz w:val="21"/>
                <w:highlight w:val="none"/>
              </w:rPr>
              <w:tab/>
            </w:r>
            <w:r>
              <w:rPr>
                <w:color w:val="auto"/>
                <w:sz w:val="21"/>
                <w:highlight w:val="none"/>
              </w:rPr>
              <w:t>□不通过，需补充完善或重新布点（任意一项判定为否，即存在严重质量问题）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90" w:hRule="atLeast"/>
        </w:trPr>
        <w:tc>
          <w:tcPr>
            <w:tcW w:w="198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before="0" w:line="280" w:lineRule="exact"/>
              <w:ind w:left="359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检查总体意见</w:t>
            </w:r>
          </w:p>
        </w:tc>
        <w:tc>
          <w:tcPr>
            <w:tcW w:w="114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80" w:lineRule="exact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84" w:type="dxa"/>
            <w:gridSpan w:val="2"/>
            <w:tcBorders>
              <w:top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4"/>
              <w:spacing w:before="0" w:line="280" w:lineRule="exact"/>
              <w:ind w:firstLine="211" w:firstLineChars="100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检查人员（签字）</w:t>
            </w:r>
          </w:p>
        </w:tc>
        <w:tc>
          <w:tcPr>
            <w:tcW w:w="11436" w:type="dxa"/>
            <w:gridSpan w:val="4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pStyle w:val="14"/>
              <w:spacing w:line="280" w:lineRule="exact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</w:tr>
    </w:tbl>
    <w:p>
      <w:pPr>
        <w:pStyle w:val="7"/>
        <w:spacing w:before="0" w:after="0" w:line="300" w:lineRule="exact"/>
        <w:ind w:right="121"/>
        <w:rPr>
          <w:rFonts w:hint="default" w:ascii="Times New Roman" w:hAnsi="Times New Roman" w:eastAsia="楷体_GB2312" w:cs="Times New Roman"/>
          <w:color w:val="auto"/>
          <w:spacing w:val="-11"/>
          <w:sz w:val="24"/>
          <w:highlight w:val="none"/>
        </w:rPr>
      </w:pPr>
      <w:r>
        <w:rPr>
          <w:rFonts w:hint="default" w:ascii="Times New Roman" w:hAnsi="Times New Roman" w:eastAsia="楷体_GB2312" w:cs="Times New Roman"/>
          <w:b/>
          <w:color w:val="auto"/>
          <w:spacing w:val="-47"/>
          <w:w w:val="99"/>
          <w:sz w:val="24"/>
          <w:highlight w:val="none"/>
        </w:rPr>
        <w:t>注：</w:t>
      </w:r>
      <w:r>
        <w:rPr>
          <w:rFonts w:hint="default" w:ascii="Times New Roman" w:hAnsi="Times New Roman" w:eastAsia="楷体_GB2312" w:cs="Times New Roman"/>
          <w:color w:val="auto"/>
          <w:spacing w:val="4"/>
          <w:sz w:val="24"/>
          <w:highlight w:val="none"/>
        </w:rPr>
        <w:t>（1）</w:t>
      </w:r>
      <w:r>
        <w:rPr>
          <w:rFonts w:hint="default" w:ascii="Times New Roman" w:hAnsi="Times New Roman" w:eastAsia="楷体_GB2312" w:cs="Times New Roman"/>
          <w:color w:val="auto"/>
          <w:spacing w:val="-1"/>
          <w:sz w:val="24"/>
          <w:highlight w:val="none"/>
        </w:rPr>
        <w:t>检查要点基于《建设用地土壤污染状况调查技术导则》</w:t>
      </w:r>
      <w:r>
        <w:rPr>
          <w:rFonts w:hint="default" w:ascii="Times New Roman" w:hAnsi="Times New Roman" w:eastAsia="楷体_GB2312" w:cs="Times New Roman"/>
          <w:color w:val="auto"/>
          <w:spacing w:val="4"/>
          <w:sz w:val="24"/>
          <w:highlight w:val="none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24"/>
          <w:highlight w:val="none"/>
        </w:rPr>
        <w:t>HJ</w:t>
      </w:r>
      <w:r>
        <w:rPr>
          <w:rFonts w:hint="default" w:ascii="Times New Roman" w:hAnsi="Times New Roman" w:eastAsia="楷体_GB2312" w:cs="Times New Roman"/>
          <w:color w:val="auto"/>
          <w:spacing w:val="5"/>
          <w:sz w:val="24"/>
          <w:highlight w:val="none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24"/>
          <w:highlight w:val="none"/>
        </w:rPr>
        <w:t>25</w:t>
      </w:r>
      <w:r>
        <w:rPr>
          <w:rFonts w:hint="default" w:ascii="Times New Roman" w:hAnsi="Times New Roman" w:eastAsia="楷体_GB2312" w:cs="Times New Roman"/>
          <w:color w:val="auto"/>
          <w:spacing w:val="-1"/>
          <w:sz w:val="24"/>
          <w:highlight w:val="none"/>
        </w:rPr>
        <w:t>.</w:t>
      </w:r>
      <w:r>
        <w:rPr>
          <w:rFonts w:hint="default" w:ascii="Times New Roman" w:hAnsi="Times New Roman" w:eastAsia="楷体_GB2312" w:cs="Times New Roman"/>
          <w:color w:val="auto"/>
          <w:sz w:val="24"/>
          <w:highlight w:val="none"/>
        </w:rPr>
        <w:t>1—</w:t>
      </w:r>
      <w:r>
        <w:rPr>
          <w:rFonts w:hint="default" w:ascii="Times New Roman" w:hAnsi="Times New Roman" w:eastAsia="楷体_GB2312" w:cs="Times New Roman"/>
          <w:color w:val="auto"/>
          <w:spacing w:val="-1"/>
          <w:sz w:val="24"/>
          <w:highlight w:val="none"/>
        </w:rPr>
        <w:t>2</w:t>
      </w:r>
      <w:r>
        <w:rPr>
          <w:rFonts w:hint="default" w:ascii="Times New Roman" w:hAnsi="Times New Roman" w:eastAsia="楷体_GB2312" w:cs="Times New Roman"/>
          <w:color w:val="auto"/>
          <w:sz w:val="24"/>
          <w:highlight w:val="none"/>
        </w:rPr>
        <w:t>01</w:t>
      </w:r>
      <w:r>
        <w:rPr>
          <w:rFonts w:hint="default" w:ascii="Times New Roman" w:hAnsi="Times New Roman" w:eastAsia="楷体_GB2312" w:cs="Times New Roman"/>
          <w:color w:val="auto"/>
          <w:spacing w:val="5"/>
          <w:sz w:val="24"/>
          <w:highlight w:val="none"/>
        </w:rPr>
        <w:t>9</w:t>
      </w:r>
      <w:r>
        <w:rPr>
          <w:rFonts w:hint="default" w:ascii="Times New Roman" w:hAnsi="Times New Roman" w:eastAsia="楷体_GB2312" w:cs="Times New Roman"/>
          <w:color w:val="auto"/>
          <w:spacing w:val="-100"/>
          <w:sz w:val="24"/>
          <w:highlight w:val="none"/>
        </w:rPr>
        <w:t>）</w:t>
      </w:r>
      <w:r>
        <w:rPr>
          <w:rFonts w:hint="default" w:ascii="Times New Roman" w:hAnsi="Times New Roman" w:eastAsia="楷体_GB2312" w:cs="Times New Roman"/>
          <w:color w:val="auto"/>
          <w:spacing w:val="-11"/>
          <w:sz w:val="24"/>
          <w:highlight w:val="none"/>
        </w:rPr>
        <w:t>、《建设用地土壤污染风险管控和修复监测技术导则》</w:t>
      </w:r>
    </w:p>
    <w:p>
      <w:pPr>
        <w:pStyle w:val="7"/>
        <w:spacing w:before="0" w:after="0" w:line="300" w:lineRule="exact"/>
        <w:ind w:left="120" w:right="121" w:firstLine="979" w:firstLineChars="395"/>
        <w:rPr>
          <w:rFonts w:hint="default" w:ascii="Times New Roman" w:hAnsi="Times New Roman" w:eastAsia="楷体_GB2312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pacing w:val="4"/>
          <w:sz w:val="24"/>
          <w:highlight w:val="none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24"/>
          <w:highlight w:val="none"/>
        </w:rPr>
        <w:t>HJ 2</w:t>
      </w:r>
      <w:r>
        <w:rPr>
          <w:rFonts w:hint="default" w:ascii="Times New Roman" w:hAnsi="Times New Roman" w:eastAsia="楷体_GB2312" w:cs="Times New Roman"/>
          <w:color w:val="auto"/>
          <w:spacing w:val="-1"/>
          <w:sz w:val="24"/>
          <w:highlight w:val="none"/>
        </w:rPr>
        <w:t>5</w:t>
      </w:r>
      <w:r>
        <w:rPr>
          <w:rFonts w:hint="default" w:ascii="Times New Roman" w:hAnsi="Times New Roman" w:eastAsia="楷体_GB2312" w:cs="Times New Roman"/>
          <w:color w:val="auto"/>
          <w:sz w:val="24"/>
          <w:highlight w:val="none"/>
        </w:rPr>
        <w:t>.2</w:t>
      </w:r>
      <w:r>
        <w:rPr>
          <w:rFonts w:hint="default" w:ascii="Times New Roman" w:hAnsi="Times New Roman" w:eastAsia="楷体_GB2312" w:cs="Times New Roman"/>
          <w:color w:val="auto"/>
          <w:spacing w:val="-2"/>
          <w:sz w:val="24"/>
          <w:highlight w:val="none"/>
        </w:rPr>
        <w:t>—</w:t>
      </w:r>
      <w:r>
        <w:rPr>
          <w:rFonts w:hint="default" w:ascii="Times New Roman" w:hAnsi="Times New Roman" w:eastAsia="楷体_GB2312" w:cs="Times New Roman"/>
          <w:color w:val="auto"/>
          <w:sz w:val="24"/>
          <w:highlight w:val="none"/>
        </w:rPr>
        <w:t>2</w:t>
      </w:r>
      <w:r>
        <w:rPr>
          <w:rFonts w:hint="default" w:ascii="Times New Roman" w:hAnsi="Times New Roman" w:eastAsia="楷体_GB2312" w:cs="Times New Roman"/>
          <w:color w:val="auto"/>
          <w:spacing w:val="-1"/>
          <w:sz w:val="24"/>
          <w:highlight w:val="none"/>
        </w:rPr>
        <w:t>0</w:t>
      </w:r>
      <w:r>
        <w:rPr>
          <w:rFonts w:hint="default" w:ascii="Times New Roman" w:hAnsi="Times New Roman" w:eastAsia="楷体_GB2312" w:cs="Times New Roman"/>
          <w:color w:val="auto"/>
          <w:sz w:val="24"/>
          <w:highlight w:val="none"/>
        </w:rPr>
        <w:t>1</w:t>
      </w:r>
      <w:r>
        <w:rPr>
          <w:rFonts w:hint="default" w:ascii="Times New Roman" w:hAnsi="Times New Roman" w:eastAsia="楷体_GB2312" w:cs="Times New Roman"/>
          <w:color w:val="auto"/>
          <w:spacing w:val="-1"/>
          <w:sz w:val="24"/>
          <w:highlight w:val="none"/>
        </w:rPr>
        <w:t>9</w:t>
      </w:r>
      <w:r>
        <w:rPr>
          <w:rFonts w:hint="default" w:ascii="Times New Roman" w:hAnsi="Times New Roman" w:eastAsia="楷体_GB2312" w:cs="Times New Roman"/>
          <w:color w:val="auto"/>
          <w:spacing w:val="-106"/>
          <w:sz w:val="24"/>
          <w:highlight w:val="none"/>
        </w:rPr>
        <w:t>）</w:t>
      </w:r>
      <w:r>
        <w:rPr>
          <w:rFonts w:hint="default" w:ascii="Times New Roman" w:hAnsi="Times New Roman" w:eastAsia="楷体_GB2312" w:cs="Times New Roman"/>
          <w:color w:val="auto"/>
          <w:spacing w:val="-11"/>
          <w:sz w:val="24"/>
          <w:highlight w:val="none"/>
        </w:rPr>
        <w:t>、《建设用地土壤环境调查评估技术指南》等相关技术导则设定。</w:t>
      </w:r>
    </w:p>
    <w:p>
      <w:pPr>
        <w:pStyle w:val="7"/>
        <w:spacing w:after="0" w:line="300" w:lineRule="exact"/>
        <w:ind w:left="750"/>
      </w:pPr>
      <w:r>
        <w:rPr>
          <w:rFonts w:hint="default" w:ascii="Times New Roman" w:hAnsi="Times New Roman" w:eastAsia="楷体_GB2312" w:cs="Times New Roman"/>
          <w:color w:val="auto"/>
          <w:sz w:val="24"/>
          <w:highlight w:val="none"/>
        </w:rPr>
        <w:t>（2）对不同调查环节，不涉及的检查要点不判定检查结果；检查要点中不涉及的内容不作为检查结果的判定依据。</w:t>
      </w:r>
      <w:bookmarkStart w:id="0" w:name="_GoBack"/>
      <w:bookmarkEnd w:id="0"/>
    </w:p>
    <w:sectPr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Arial Unicode MS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等线 Light">
    <w:altName w:val="楷体_GB2312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+VVpd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11"/>
                              <w:rFonts w:eastAsia="仿宋_GB2312"/>
                              <w:sz w:val="28"/>
                            </w:rPr>
                          </w:pPr>
                          <w:r>
                            <w:rPr>
                              <w:rStyle w:val="11"/>
                              <w:sz w:val="28"/>
                            </w:rPr>
                            <w:t>―</w:t>
                          </w:r>
                          <w:r>
                            <w:rPr>
                              <w:rStyle w:val="11"/>
                              <w:rFonts w:eastAsia="仿宋_GB23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eastAsia="仿宋_GB2312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eastAsia="仿宋_GB2312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eastAsia="仿宋_GB2312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eastAsia="仿宋_GB2312"/>
                              <w:sz w:val="28"/>
                            </w:rPr>
                            <w:t>1</w:t>
                          </w:r>
                          <w:r>
                            <w:rPr>
                              <w:rFonts w:eastAsia="仿宋_GB2312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eastAsia="仿宋_GB23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11"/>
                              <w:sz w:val="28"/>
                            </w:rPr>
                            <w:t>―</w:t>
                          </w:r>
                        </w:p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1"/>
                        <w:rFonts w:eastAsia="仿宋_GB2312"/>
                        <w:sz w:val="28"/>
                      </w:rPr>
                    </w:pPr>
                    <w:r>
                      <w:rPr>
                        <w:rStyle w:val="11"/>
                        <w:sz w:val="28"/>
                      </w:rPr>
                      <w:t>―</w:t>
                    </w:r>
                    <w:r>
                      <w:rPr>
                        <w:rStyle w:val="11"/>
                        <w:rFonts w:eastAsia="仿宋_GB2312"/>
                        <w:sz w:val="28"/>
                      </w:rPr>
                      <w:t xml:space="preserve"> </w:t>
                    </w:r>
                    <w:r>
                      <w:rPr>
                        <w:rFonts w:eastAsia="仿宋_GB2312"/>
                        <w:sz w:val="28"/>
                      </w:rPr>
                      <w:fldChar w:fldCharType="begin"/>
                    </w:r>
                    <w:r>
                      <w:rPr>
                        <w:rStyle w:val="11"/>
                        <w:rFonts w:eastAsia="仿宋_GB2312"/>
                        <w:sz w:val="28"/>
                      </w:rPr>
                      <w:instrText xml:space="preserve">PAGE  </w:instrText>
                    </w:r>
                    <w:r>
                      <w:rPr>
                        <w:rFonts w:eastAsia="仿宋_GB2312"/>
                        <w:sz w:val="28"/>
                      </w:rPr>
                      <w:fldChar w:fldCharType="separate"/>
                    </w:r>
                    <w:r>
                      <w:rPr>
                        <w:rStyle w:val="11"/>
                        <w:rFonts w:eastAsia="仿宋_GB2312"/>
                        <w:sz w:val="28"/>
                      </w:rPr>
                      <w:t>1</w:t>
                    </w:r>
                    <w:r>
                      <w:rPr>
                        <w:rFonts w:eastAsia="仿宋_GB2312"/>
                        <w:sz w:val="28"/>
                      </w:rPr>
                      <w:fldChar w:fldCharType="end"/>
                    </w:r>
                    <w:r>
                      <w:rPr>
                        <w:rStyle w:val="11"/>
                        <w:rFonts w:eastAsia="仿宋_GB2312"/>
                        <w:sz w:val="28"/>
                      </w:rPr>
                      <w:t xml:space="preserve"> </w:t>
                    </w:r>
                    <w:r>
                      <w:rPr>
                        <w:rStyle w:val="11"/>
                        <w:sz w:val="28"/>
                      </w:rPr>
                      <w:t>―</w:t>
                    </w:r>
                  </w:p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MzRiOTRkNGYyODk1MmU5YzZlNDcwNzMzMWQxNzEifQ=="/>
  </w:docVars>
  <w:rsids>
    <w:rsidRoot w:val="54426CAC"/>
    <w:rsid w:val="38BE1547"/>
    <w:rsid w:val="484B412F"/>
    <w:rsid w:val="5442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2" w:lineRule="auto"/>
      <w:outlineLvl w:val="2"/>
    </w:pPr>
    <w:rPr>
      <w:rFonts w:ascii="等线" w:hAnsi="等线" w:eastAsia="等线 Light" w:cs="宋体"/>
      <w:b/>
      <w:bCs/>
      <w:sz w:val="30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4" w:lineRule="auto"/>
      <w:outlineLvl w:val="3"/>
    </w:pPr>
    <w:rPr>
      <w:rFonts w:ascii="Cambria" w:hAnsi="Cambria" w:eastAsia="宋体" w:cs="宋体"/>
      <w:b/>
      <w:bCs/>
      <w:sz w:val="28"/>
      <w:szCs w:val="28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  <w:rPr>
      <w:rFonts w:ascii="Calibri" w:hAnsi="Calibri" w:eastAsia="宋体" w:cs="Times New Roman"/>
      <w:szCs w:val="22"/>
    </w:rPr>
  </w:style>
  <w:style w:type="paragraph" w:styleId="7">
    <w:name w:val="Body Text"/>
    <w:basedOn w:val="1"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3">
    <w:name w:val="Char"/>
    <w:basedOn w:val="1"/>
    <w:qFormat/>
    <w:uiPriority w:val="0"/>
  </w:style>
  <w:style w:type="paragraph" w:customStyle="1" w:styleId="14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969</Words>
  <Characters>971</Characters>
  <Lines>0</Lines>
  <Paragraphs>0</Paragraphs>
  <TotalTime>1</TotalTime>
  <ScaleCrop>false</ScaleCrop>
  <LinksUpToDate>false</LinksUpToDate>
  <CharactersWithSpaces>1196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2023-08-01T07:13:00Z</dcterms:created>
  <dc:creator>陈璐</dc:creator>
  <cp:lastModifiedBy>陈璐</cp:lastModifiedBy>
  <dcterms:modified xsi:type="dcterms:W3CDTF">2023-08-01T07:27:03Z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AA33D53B7FB548A983D757CA36CA8343_13</vt:lpwstr>
  </property>
</Properties>
</file>