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《固废法》一般工业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固体废物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相关处罚条款</w:t>
      </w:r>
    </w:p>
    <w:bookmarkEnd w:id="0"/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593"/>
        <w:gridCol w:w="19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产生、收集、贮存、运输、利用、处置固体废物的单位未依法及时公开固体废物污染环境防治信息的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5-20万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将列入限期淘汰名录被淘汰的设备转让给他人使用的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在生态保护红线区域、永久基本农田集中区域和其他需要特别保护的区域内，建设工业固体废物、危险废物集中贮存、利用、处置的设施、场所和生活垃圾填埋场的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转移固体废物出省、自治区、直辖市行政区域贮存、处置未经批准的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转移固体废物出省、自治区、直辖市行政区域利用未报备案的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擅自倾倒、堆放、丢弃、遗撒工业固体废物，或者未采取相应防范措施，造成工业固体废物扬散、流失、渗漏或者其他环境污染的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1-3倍处置费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（不低于10万）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产生工业固体废物的单位未建立固体废物管理台账并如实记录的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5-20万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产生工业固体废物的单位违反本法规定委托他人运输、利用、处置工业固体废物的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贮存工业固体废物未采取符合国家环境保护标准的防护措施的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单位和其他生产经营者违反固体废物管理其他要求，污染环境、破坏生态的。</w:t>
            </w:r>
          </w:p>
        </w:tc>
        <w:tc>
          <w:tcPr>
            <w:tcW w:w="19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10-100万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6B3D40C9"/>
    <w:rsid w:val="6B3D40C9"/>
    <w:rsid w:val="76C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2110</Words>
  <Characters>2138</Characters>
  <Lines>0</Lines>
  <Paragraphs>0</Paragraphs>
  <TotalTime>0</TotalTime>
  <ScaleCrop>false</ScaleCrop>
  <LinksUpToDate>false</LinksUpToDate>
  <CharactersWithSpaces>2155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2023-05-09T08:59:00Z</dcterms:created>
  <dc:creator>陈璐</dc:creator>
  <cp:lastModifiedBy>陈璐</cp:lastModifiedBy>
  <dcterms:modified xsi:type="dcterms:W3CDTF">2023-05-09T09:00:27Z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1C3A1BAF5CB44A8D9DADEB8DB5790444</vt:lpwstr>
  </property>
</Properties>
</file>