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0" w:type="auto"/>
        <w:jc w:val="center"/>
        <w:tblCellSpacing w:w="0" w:type="dxa"/>
        <w:shd w:val="clear" w:color="auto" w:fill="auto"/>
        <w:tblLayout w:type="autofit"/>
        <w:tblCellMar>
          <w:top w:w="0" w:type="dxa"/>
          <w:left w:w="0" w:type="dxa"/>
          <w:bottom w:w="0" w:type="dxa"/>
          <w:right w:w="0" w:type="dxa"/>
        </w:tblCellMar>
      </w:tblPr>
      <w:tblGrid>
        <w:gridCol w:w="13958"/>
      </w:tblGrid>
      <w:tr>
        <w:tblPrEx>
          <w:shd w:val="clear" w:color="auto" w:fill="auto"/>
          <w:tblCellMar>
            <w:top w:w="0" w:type="dxa"/>
            <w:left w:w="0" w:type="dxa"/>
            <w:bottom w:w="0" w:type="dxa"/>
            <w:right w:w="0" w:type="dxa"/>
          </w:tblCellMar>
        </w:tblPrEx>
        <w:trPr>
          <w:tblCellSpacing w:w="0" w:type="dxa"/>
          <w:jc w:val="center"/>
        </w:trPr>
        <w:tc>
          <w:tcPr>
            <w:tcW w:w="0" w:type="auto"/>
            <w:shd w:val="clear" w:color="auto" w:fill="auto"/>
            <w:vAlign w:val="center"/>
          </w:tcPr>
          <w:tbl>
            <w:tblPr>
              <w:tblStyle w:val="4"/>
              <w:tblW w:w="5000" w:type="pct"/>
              <w:tblInd w:w="-92" w:type="dxa"/>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153"/>
              <w:gridCol w:w="4434"/>
              <w:gridCol w:w="1831"/>
              <w:gridCol w:w="1377"/>
              <w:gridCol w:w="1378"/>
              <w:gridCol w:w="1831"/>
              <w:gridCol w:w="1944"/>
            </w:tblGrid>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行政处罚决定文书号 :</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000000"/>
                      <w:spacing w:val="0"/>
                      <w:sz w:val="18"/>
                      <w:szCs w:val="18"/>
                    </w:rPr>
                    <w:t>穗环法罚【2021】7号</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行政相对人类别:</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000000"/>
                      <w:spacing w:val="0"/>
                      <w:kern w:val="0"/>
                      <w:sz w:val="18"/>
                      <w:szCs w:val="18"/>
                      <w:lang w:val="en-US" w:eastAsia="zh-CN" w:bidi="ar"/>
                    </w:rPr>
                    <w:t>法人</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处罚类别:</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000000"/>
                      <w:spacing w:val="0"/>
                      <w:kern w:val="0"/>
                      <w:sz w:val="18"/>
                      <w:szCs w:val="18"/>
                      <w:lang w:val="en-US" w:eastAsia="zh-CN" w:bidi="ar"/>
                    </w:rPr>
                    <w:t>罚款</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违法事实:</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000000"/>
                      <w:spacing w:val="0"/>
                      <w:sz w:val="18"/>
                      <w:szCs w:val="18"/>
                    </w:rPr>
                    <w:t>经我局执法人员调查发现，当事人主要从事水、气、声检测服务，已取得广东省市场监督管理局颁发的资质认定证书（证书编号：201919114712，有效期至：2025年11月18日）；当事人承接了茂名市电白区创发建材有限公司委托检测业务，于2021年7月29日派出采样人员前往该公司进行废水、有组织废气、无组织废气及噪声采样监测，并出具了检测报告（报告编号：LHY2107A039）。经查明，上述检测报告存在如下问题：一是当事人就该次采样出具了编号相同但部分检测结果（有组织废气隧道窑处理后排放口二氧化硫排放浓度、折算浓度、排放速率）不同的两份检测报告，且两份报告均未按照《砖瓦工业大气污染物排放标准》（GB29620-2013）修改单中大气污染物基准排放浓度的要求进行折算，两份报告中的二氧化硫、颗粒物、氮氧化物折算浓度均计算失实；二是当事人提供的该次采样原始记录中二氧化硫烟气浓度的没有按照《固定污染源废气 二氧化硫的测定 定电位电解法》（HJ 57-2017）要求按分钟保存测定数据，亦未按要求同时测定一氧化碳浓度；三是当事人在该次采样中仅实际开展无组织排放的颗粒物采样且采样时间、地点与事实不符，未对无组织排放的二氧化硫、氟化物进行采样但出具了相关检测数据，且该次采样的隧道窑处理后排放口二氧化物、氮氧化物等采样时间、地点亦与事实不符。</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处罚依据:</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000000"/>
                      <w:spacing w:val="0"/>
                      <w:sz w:val="18"/>
                      <w:szCs w:val="18"/>
                    </w:rPr>
                    <w:t>《广东省环境保护条例》：违反本条例第十二条第三款规定，环境监测机构未按照环境监测规范从事环境监测活动，造成监测数据失实的，由县级以上生态环境主管部门责令改正，并可处二万元以上五万元以下罚款；……《广东省水污染防治条例》：环境监测机构违反本条例第二十三条第三款规定，未按照环境监测规范从事环境监测活动，造成监测数据失实的，由所在地生态环境主管部门责令改正，并可处二万元以上五万元以下的罚款；…… , 《广东省环境保护条例》第六十四条第二款，《广东省水污染防治条例》第六十三条</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处罚内容:</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000000"/>
                      <w:spacing w:val="0"/>
                      <w:kern w:val="0"/>
                      <w:sz w:val="18"/>
                      <w:szCs w:val="18"/>
                      <w:lang w:val="en-US" w:eastAsia="zh-CN" w:bidi="ar"/>
                    </w:rPr>
                    <w:t>详见处罚决定文书</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行政相对人名称:</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jc w:val="left"/>
                    <w:rPr>
                      <w:rFonts w:hint="eastAsia" w:ascii="微软雅黑" w:hAnsi="微软雅黑" w:eastAsia="微软雅黑" w:cs="微软雅黑"/>
                      <w:i w:val="0"/>
                      <w:iCs w:val="0"/>
                      <w:caps w:val="0"/>
                      <w:color w:val="102401"/>
                      <w:spacing w:val="0"/>
                      <w:sz w:val="18"/>
                      <w:szCs w:val="18"/>
                    </w:rPr>
                  </w:pPr>
                  <w:r>
                    <w:rPr>
                      <w:rFonts w:hint="eastAsia" w:ascii="微软雅黑" w:hAnsi="微软雅黑" w:eastAsia="微软雅黑" w:cs="微软雅黑"/>
                      <w:i w:val="0"/>
                      <w:iCs w:val="0"/>
                      <w:caps w:val="0"/>
                      <w:color w:val="102401"/>
                      <w:spacing w:val="0"/>
                      <w:sz w:val="18"/>
                      <w:szCs w:val="18"/>
                    </w:rPr>
                    <w:t>广州蓝海洋检测技术有限公司</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c>
                <w:tcPr>
                  <w:tcW w:w="0" w:type="auto"/>
                  <w:vMerge w:val="restart"/>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行政相对人代码:</w:t>
                  </w:r>
                </w:p>
              </w:tc>
              <w:tc>
                <w:tcPr>
                  <w:tcW w:w="10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统一社会信用代码</w:t>
                  </w:r>
                </w:p>
              </w:tc>
              <w:tc>
                <w:tcPr>
                  <w:tcW w:w="7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组织机构代码</w:t>
                  </w:r>
                </w:p>
              </w:tc>
              <w:tc>
                <w:tcPr>
                  <w:tcW w:w="675"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工商登记码</w:t>
                  </w:r>
                </w:p>
              </w:tc>
              <w:tc>
                <w:tcPr>
                  <w:tcW w:w="675"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税务登记号</w:t>
                  </w:r>
                </w:p>
              </w:tc>
              <w:tc>
                <w:tcPr>
                  <w:tcW w:w="10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事业单位证书号</w:t>
                  </w:r>
                </w:p>
              </w:tc>
              <w:tc>
                <w:tcPr>
                  <w:tcW w:w="1125"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社会组织登记证号</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c>
                <w:tcPr>
                  <w:tcW w:w="0" w:type="auto"/>
                  <w:vMerge w:val="continue"/>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jc w:val="right"/>
                    <w:rPr>
                      <w:rFonts w:hint="eastAsia" w:ascii="微软雅黑" w:hAnsi="微软雅黑" w:eastAsia="微软雅黑" w:cs="微软雅黑"/>
                      <w:i w:val="0"/>
                      <w:iCs w:val="0"/>
                      <w:caps w:val="0"/>
                      <w:color w:val="102401"/>
                      <w:spacing w:val="0"/>
                      <w:sz w:val="18"/>
                      <w:szCs w:val="18"/>
                    </w:rPr>
                  </w:pPr>
                </w:p>
              </w:tc>
              <w:tc>
                <w:tcPr>
                  <w:tcW w:w="10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rFonts w:hint="eastAsia" w:ascii="微软雅黑" w:hAnsi="微软雅黑" w:eastAsia="微软雅黑" w:cs="微软雅黑"/>
                      <w:i w:val="0"/>
                      <w:iCs w:val="0"/>
                      <w:caps w:val="0"/>
                      <w:color w:val="102401"/>
                      <w:spacing w:val="0"/>
                      <w:sz w:val="18"/>
                      <w:szCs w:val="18"/>
                    </w:rPr>
                  </w:pPr>
                  <w:r>
                    <w:rPr>
                      <w:rFonts w:ascii="微软雅黑" w:hAnsi="微软雅黑" w:eastAsia="微软雅黑" w:cs="微软雅黑"/>
                      <w:i w:val="0"/>
                      <w:iCs w:val="0"/>
                      <w:caps w:val="0"/>
                      <w:color w:val="102401"/>
                      <w:spacing w:val="0"/>
                      <w:sz w:val="18"/>
                      <w:szCs w:val="18"/>
                    </w:rPr>
                    <w:t>91440183MACCFAXH</w:t>
                  </w:r>
                </w:p>
              </w:tc>
              <w:tc>
                <w:tcPr>
                  <w:tcW w:w="10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jc w:val="left"/>
                    <w:rPr>
                      <w:rFonts w:hint="eastAsia" w:ascii="微软雅黑" w:hAnsi="微软雅黑" w:eastAsia="微软雅黑" w:cs="微软雅黑"/>
                      <w:i w:val="0"/>
                      <w:iCs w:val="0"/>
                      <w:caps w:val="0"/>
                      <w:color w:val="102401"/>
                      <w:spacing w:val="0"/>
                      <w:sz w:val="18"/>
                      <w:szCs w:val="18"/>
                    </w:rPr>
                  </w:pPr>
                </w:p>
              </w:tc>
              <w:tc>
                <w:tcPr>
                  <w:tcW w:w="7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jc w:val="left"/>
                    <w:rPr>
                      <w:rFonts w:hint="eastAsia" w:ascii="微软雅黑" w:hAnsi="微软雅黑" w:eastAsia="微软雅黑" w:cs="微软雅黑"/>
                      <w:i w:val="0"/>
                      <w:iCs w:val="0"/>
                      <w:caps w:val="0"/>
                      <w:color w:val="102401"/>
                      <w:spacing w:val="0"/>
                      <w:sz w:val="18"/>
                      <w:szCs w:val="18"/>
                    </w:rPr>
                  </w:pPr>
                </w:p>
              </w:tc>
              <w:tc>
                <w:tcPr>
                  <w:tcW w:w="7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jc w:val="left"/>
                    <w:rPr>
                      <w:rFonts w:hint="eastAsia" w:ascii="微软雅黑" w:hAnsi="微软雅黑" w:eastAsia="微软雅黑" w:cs="微软雅黑"/>
                      <w:i w:val="0"/>
                      <w:iCs w:val="0"/>
                      <w:caps w:val="0"/>
                      <w:color w:val="102401"/>
                      <w:spacing w:val="0"/>
                      <w:sz w:val="18"/>
                      <w:szCs w:val="18"/>
                    </w:rPr>
                  </w:pPr>
                </w:p>
              </w:tc>
              <w:tc>
                <w:tcPr>
                  <w:tcW w:w="7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jc w:val="left"/>
                    <w:rPr>
                      <w:rFonts w:hint="eastAsia" w:ascii="微软雅黑" w:hAnsi="微软雅黑" w:eastAsia="微软雅黑" w:cs="微软雅黑"/>
                      <w:i w:val="0"/>
                      <w:iCs w:val="0"/>
                      <w:caps w:val="0"/>
                      <w:color w:val="102401"/>
                      <w:spacing w:val="0"/>
                      <w:sz w:val="18"/>
                      <w:szCs w:val="18"/>
                    </w:rPr>
                  </w:pPr>
                </w:p>
              </w:tc>
              <w:tc>
                <w:tcPr>
                  <w:tcW w:w="90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jc w:val="left"/>
                    <w:rPr>
                      <w:rFonts w:hint="eastAsia" w:ascii="微软雅黑" w:hAnsi="微软雅黑" w:eastAsia="微软雅黑" w:cs="微软雅黑"/>
                      <w:i w:val="0"/>
                      <w:iCs w:val="0"/>
                      <w:caps w:val="0"/>
                      <w:color w:val="102401"/>
                      <w:spacing w:val="0"/>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法人代表姓名:</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000000"/>
                      <w:spacing w:val="0"/>
                      <w:sz w:val="18"/>
                      <w:szCs w:val="18"/>
                    </w:rPr>
                    <w:t>姚振源</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法定代表人证件号码:</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ascii="微软雅黑" w:hAnsi="微软雅黑" w:eastAsia="微软雅黑" w:cs="微软雅黑"/>
                      <w:i w:val="0"/>
                      <w:iCs w:val="0"/>
                      <w:caps w:val="0"/>
                      <w:color w:val="102401"/>
                      <w:spacing w:val="0"/>
                      <w:sz w:val="18"/>
                      <w:szCs w:val="18"/>
                    </w:rPr>
                    <w:t>440112</w:t>
                  </w:r>
                  <w:r>
                    <w:rPr>
                      <w:rFonts w:hint="eastAsia" w:ascii="微软雅黑" w:hAnsi="微软雅黑" w:eastAsia="微软雅黑" w:cs="微软雅黑"/>
                      <w:i w:val="0"/>
                      <w:iCs w:val="0"/>
                      <w:caps w:val="0"/>
                      <w:color w:val="102401"/>
                      <w:spacing w:val="0"/>
                      <w:kern w:val="0"/>
                      <w:sz w:val="18"/>
                      <w:szCs w:val="18"/>
                      <w:lang w:val="en-US" w:eastAsia="zh-CN" w:bidi="ar"/>
                    </w:rPr>
                    <w:t>***********6</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证件类型:</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jc w:val="left"/>
                    <w:rPr>
                      <w:rFonts w:hint="eastAsia" w:ascii="微软雅黑" w:hAnsi="微软雅黑" w:eastAsia="微软雅黑" w:cs="微软雅黑"/>
                      <w:i w:val="0"/>
                      <w:iCs w:val="0"/>
                      <w:caps w:val="0"/>
                      <w:color w:val="102401"/>
                      <w:spacing w:val="0"/>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证件号码:</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jc w:val="left"/>
                    <w:rPr>
                      <w:rFonts w:hint="eastAsia" w:ascii="微软雅黑" w:hAnsi="微软雅黑" w:eastAsia="微软雅黑" w:cs="微软雅黑"/>
                      <w:i w:val="0"/>
                      <w:iCs w:val="0"/>
                      <w:caps w:val="0"/>
                      <w:color w:val="102401"/>
                      <w:spacing w:val="0"/>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违法行为类型:</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000000"/>
                      <w:spacing w:val="0"/>
                      <w:sz w:val="18"/>
                      <w:szCs w:val="18"/>
                    </w:rPr>
                    <w:t>《广东省环境保护条例》：环境监测机构应当按照环境监测规范从事环境监测活动，接受生态环境主管部门的监督，不得弄虚作假，隐瞒、伪造、篡改环境监测数据。任何单位和个人不得伪造、变造或者篡改环境监测机构的环境监测报告。《广东省水污染防治条例》：环境监测机构和开展自行监测的排污单位应当按照环境监测规范从事环境监测活动，不得有隐瞒、伪造、篡改环境监测数据等弄虚作假行为。任何单位和个人不得伪造或者篡改环境监测机构的环境监测报告。 , 《广东省环境保护条例》第十二条第三款，《广东省水污染防治条例》第二十三条第三款</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罚款金额（万元）:</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000000"/>
                      <w:spacing w:val="0"/>
                      <w:sz w:val="18"/>
                      <w:szCs w:val="18"/>
                    </w:rPr>
                    <w:t>5</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没收违法所得、没收非法财物的金额（万元）:</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jc w:val="left"/>
                    <w:rPr>
                      <w:rFonts w:hint="eastAsia" w:ascii="微软雅黑" w:hAnsi="微软雅黑" w:eastAsia="微软雅黑" w:cs="微软雅黑"/>
                      <w:i w:val="0"/>
                      <w:iCs w:val="0"/>
                      <w:caps w:val="0"/>
                      <w:color w:val="102401"/>
                      <w:spacing w:val="0"/>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暂扣或吊销证照名称及编号:</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jc w:val="left"/>
                    <w:rPr>
                      <w:rFonts w:hint="eastAsia" w:ascii="微软雅黑" w:hAnsi="微软雅黑" w:eastAsia="微软雅黑" w:cs="微软雅黑"/>
                      <w:i w:val="0"/>
                      <w:iCs w:val="0"/>
                      <w:caps w:val="0"/>
                      <w:color w:val="102401"/>
                      <w:spacing w:val="0"/>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处罚决定日期:</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000000"/>
                      <w:spacing w:val="0"/>
                      <w:sz w:val="18"/>
                      <w:szCs w:val="18"/>
                    </w:rPr>
                    <w:t>2021/12/23</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处罚有效期:</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000000"/>
                      <w:spacing w:val="0"/>
                      <w:sz w:val="18"/>
                      <w:szCs w:val="18"/>
                    </w:rPr>
                    <w:t>2099/12/31</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公示截止期:</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000000"/>
                      <w:spacing w:val="0"/>
                      <w:sz w:val="18"/>
                      <w:szCs w:val="18"/>
                    </w:rPr>
                    <w:t>2099/12/31</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处罚机关:</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000000"/>
                      <w:spacing w:val="0"/>
                      <w:kern w:val="0"/>
                      <w:sz w:val="18"/>
                      <w:szCs w:val="18"/>
                      <w:lang w:val="en-US" w:eastAsia="zh-CN" w:bidi="ar"/>
                    </w:rPr>
                    <w:t>广州市生态环境局</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处罚机关统一社会信用代码:</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000000"/>
                      <w:spacing w:val="0"/>
                      <w:sz w:val="18"/>
                      <w:szCs w:val="18"/>
                    </w:rPr>
                    <w:t>11440100MB2C93184J</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数据来源单位:</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000000"/>
                      <w:spacing w:val="0"/>
                      <w:kern w:val="0"/>
                      <w:sz w:val="18"/>
                      <w:szCs w:val="18"/>
                      <w:lang w:val="en-US" w:eastAsia="zh-CN" w:bidi="ar"/>
                    </w:rPr>
                    <w:t>广州市生态环境局</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数据来源单位统一社会信用代码:</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000000"/>
                      <w:spacing w:val="0"/>
                      <w:sz w:val="18"/>
                      <w:szCs w:val="18"/>
                    </w:rPr>
                    <w:t>11440100MB2C93184J</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备注:</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000000"/>
                      <w:spacing w:val="0"/>
                      <w:kern w:val="0"/>
                      <w:sz w:val="18"/>
                      <w:szCs w:val="18"/>
                      <w:lang w:val="en-US" w:eastAsia="zh-CN" w:bidi="ar"/>
                    </w:rPr>
                    <w:t>/</w:t>
                  </w:r>
                </w:p>
              </w:tc>
            </w:tr>
          </w:tbl>
          <w:p>
            <w:pPr>
              <w:jc w:val="center"/>
              <w:rPr>
                <w:rFonts w:ascii="微软雅黑" w:hAnsi="微软雅黑" w:eastAsia="微软雅黑" w:cs="微软雅黑"/>
                <w:i w:val="0"/>
                <w:iCs w:val="0"/>
                <w:caps w:val="0"/>
                <w:color w:val="000000"/>
                <w:spacing w:val="0"/>
                <w:sz w:val="27"/>
                <w:szCs w:val="27"/>
              </w:rPr>
            </w:pPr>
          </w:p>
        </w:tc>
      </w:tr>
      <w:tr>
        <w:tblPrEx>
          <w:tblCellMar>
            <w:top w:w="0" w:type="dxa"/>
            <w:left w:w="0" w:type="dxa"/>
            <w:bottom w:w="0" w:type="dxa"/>
            <w:right w:w="0" w:type="dxa"/>
          </w:tblCellMar>
        </w:tblPrEx>
        <w:trPr>
          <w:tblCellSpacing w:w="0" w:type="dxa"/>
          <w:jc w:val="center"/>
        </w:trPr>
        <w:tc>
          <w:tcPr>
            <w:tcW w:w="0" w:type="auto"/>
            <w:shd w:val="clear" w:color="auto" w:fill="auto"/>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 </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 </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r>
              <w:rPr>
                <w:rStyle w:val="6"/>
                <w:rFonts w:hint="eastAsia" w:ascii="微软雅黑" w:hAnsi="微软雅黑" w:eastAsia="微软雅黑" w:cs="微软雅黑"/>
                <w:i w:val="0"/>
                <w:iCs w:val="0"/>
                <w:caps w:val="0"/>
                <w:color w:val="000000"/>
                <w:spacing w:val="0"/>
                <w:kern w:val="0"/>
                <w:sz w:val="32"/>
                <w:szCs w:val="32"/>
                <w:lang w:val="en-US" w:eastAsia="zh-CN" w:bidi="ar"/>
              </w:rPr>
              <w:t>全文信息</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 </w:t>
            </w:r>
          </w:p>
          <w:p>
            <w:pPr>
              <w:pStyle w:val="3"/>
              <w:keepNext w:val="0"/>
              <w:keepLines w:val="0"/>
              <w:widowControl/>
              <w:suppressLineNumbers w:val="0"/>
              <w:ind w:left="0" w:right="0"/>
              <w:jc w:val="right"/>
            </w:pPr>
            <w:r>
              <w:rPr>
                <w:rFonts w:hint="eastAsia" w:ascii="微软雅黑" w:hAnsi="微软雅黑" w:eastAsia="微软雅黑" w:cs="微软雅黑"/>
                <w:i w:val="0"/>
                <w:iCs w:val="0"/>
                <w:caps w:val="0"/>
                <w:color w:val="000000"/>
                <w:spacing w:val="0"/>
                <w:sz w:val="24"/>
                <w:szCs w:val="24"/>
              </w:rPr>
              <w:t> </w:t>
            </w:r>
            <w:r>
              <w:rPr>
                <w:rFonts w:hint="eastAsia" w:ascii="微软雅黑" w:hAnsi="微软雅黑" w:eastAsia="微软雅黑" w:cs="微软雅黑"/>
                <w:i w:val="0"/>
                <w:iCs w:val="0"/>
                <w:caps w:val="0"/>
                <w:color w:val="000000"/>
                <w:spacing w:val="0"/>
                <w:sz w:val="24"/>
                <w:szCs w:val="24"/>
              </w:rPr>
              <w:br w:type="textWrapping"/>
            </w:r>
            <w:r>
              <w:rPr>
                <w:rFonts w:hint="eastAsia" w:ascii="微软雅黑" w:hAnsi="微软雅黑" w:eastAsia="微软雅黑" w:cs="微软雅黑"/>
                <w:i w:val="0"/>
                <w:iCs w:val="0"/>
                <w:caps w:val="0"/>
                <w:color w:val="000000"/>
                <w:spacing w:val="0"/>
                <w:sz w:val="24"/>
                <w:szCs w:val="24"/>
              </w:rPr>
              <w:t> </w:t>
            </w:r>
          </w:p>
          <w:p>
            <w:pPr>
              <w:pStyle w:val="3"/>
              <w:keepNext w:val="0"/>
              <w:keepLines w:val="0"/>
              <w:widowControl/>
              <w:suppressLineNumbers w:val="0"/>
              <w:ind w:left="0" w:right="0"/>
              <w:jc w:val="both"/>
            </w:pPr>
            <w:r>
              <w:rPr>
                <w:rFonts w:hint="eastAsia" w:ascii="微软雅黑" w:hAnsi="微软雅黑" w:eastAsia="微软雅黑" w:cs="微软雅黑"/>
                <w:i w:val="0"/>
                <w:iCs w:val="0"/>
                <w:caps w:val="0"/>
                <w:color w:val="000000"/>
                <w:spacing w:val="0"/>
                <w:sz w:val="27"/>
                <w:szCs w:val="27"/>
              </w:rPr>
              <w:t> </w:t>
            </w:r>
          </w:p>
          <w:p>
            <w:pPr>
              <w:pStyle w:val="3"/>
              <w:keepNext w:val="0"/>
              <w:keepLines w:val="0"/>
              <w:widowControl/>
              <w:suppressLineNumbers w:val="0"/>
              <w:ind w:left="0" w:right="0"/>
              <w:jc w:val="both"/>
            </w:pPr>
            <w:r>
              <w:rPr>
                <w:rFonts w:hint="eastAsia" w:ascii="微软雅黑" w:hAnsi="微软雅黑" w:eastAsia="微软雅黑" w:cs="微软雅黑"/>
                <w:i w:val="0"/>
                <w:iCs w:val="0"/>
                <w:caps w:val="0"/>
                <w:color w:val="000000"/>
                <w:spacing w:val="0"/>
                <w:sz w:val="27"/>
                <w:szCs w:val="27"/>
              </w:rPr>
              <w:t> </w:t>
            </w:r>
          </w:p>
          <w:p>
            <w:pPr>
              <w:pStyle w:val="3"/>
              <w:keepNext w:val="0"/>
              <w:keepLines w:val="0"/>
              <w:widowControl/>
              <w:suppressLineNumbers w:val="0"/>
              <w:ind w:left="0" w:right="0"/>
              <w:jc w:val="right"/>
            </w:pPr>
            <w:r>
              <w:rPr>
                <w:rFonts w:hint="eastAsia" w:ascii="仿宋_GB2312" w:hAnsi="Times New Roman" w:eastAsia="仿宋_GB2312" w:cs="仿宋_GB2312"/>
                <w:i w:val="0"/>
                <w:iCs w:val="0"/>
                <w:caps w:val="0"/>
                <w:color w:val="000000"/>
                <w:spacing w:val="0"/>
                <w:sz w:val="32"/>
                <w:szCs w:val="32"/>
              </w:rPr>
              <w:t>穗环法罚〔2021〕7号</w:t>
            </w:r>
            <w:r>
              <w:rPr>
                <w:rFonts w:hint="eastAsia" w:ascii="微软雅黑" w:hAnsi="微软雅黑" w:eastAsia="微软雅黑" w:cs="微软雅黑"/>
                <w:i w:val="0"/>
                <w:iCs w:val="0"/>
                <w:caps w:val="0"/>
                <w:color w:val="000000"/>
                <w:spacing w:val="0"/>
                <w:sz w:val="27"/>
                <w:szCs w:val="27"/>
              </w:rPr>
              <w:t> </w:t>
            </w:r>
          </w:p>
          <w:p>
            <w:pPr>
              <w:pStyle w:val="3"/>
              <w:keepNext w:val="0"/>
              <w:keepLines w:val="0"/>
              <w:widowControl/>
              <w:suppressLineNumbers w:val="0"/>
              <w:ind w:left="0" w:right="0"/>
              <w:jc w:val="center"/>
            </w:pPr>
            <w:r>
              <w:rPr>
                <w:rFonts w:ascii="方正小标宋简体" w:hAnsi="方正小标宋简体" w:eastAsia="方正小标宋简体" w:cs="方正小标宋简体"/>
                <w:i w:val="0"/>
                <w:iCs w:val="0"/>
                <w:caps w:val="0"/>
                <w:color w:val="000000"/>
                <w:spacing w:val="0"/>
                <w:sz w:val="44"/>
                <w:szCs w:val="44"/>
              </w:rPr>
              <w:t>行政处罚决定书</w:t>
            </w:r>
          </w:p>
          <w:p>
            <w:pPr>
              <w:pStyle w:val="3"/>
              <w:keepNext w:val="0"/>
              <w:keepLines w:val="0"/>
              <w:widowControl/>
              <w:suppressLineNumbers w:val="0"/>
              <w:ind w:left="0" w:right="0"/>
              <w:jc w:val="both"/>
            </w:pPr>
            <w:r>
              <w:rPr>
                <w:rFonts w:hint="eastAsia" w:ascii="微软雅黑" w:hAnsi="微软雅黑" w:eastAsia="微软雅黑" w:cs="微软雅黑"/>
                <w:i w:val="0"/>
                <w:iCs w:val="0"/>
                <w:caps w:val="0"/>
                <w:color w:val="000000"/>
                <w:spacing w:val="0"/>
                <w:sz w:val="27"/>
                <w:szCs w:val="27"/>
              </w:rPr>
              <w:t> </w:t>
            </w:r>
          </w:p>
          <w:p>
            <w:pPr>
              <w:pStyle w:val="3"/>
              <w:keepNext w:val="0"/>
              <w:keepLines w:val="0"/>
              <w:widowControl/>
              <w:suppressLineNumbers w:val="0"/>
              <w:ind w:left="0" w:right="0"/>
              <w:jc w:val="both"/>
            </w:pPr>
            <w:r>
              <w:rPr>
                <w:rFonts w:hint="default" w:ascii="仿宋_GB2312" w:hAnsi="Times New Roman" w:eastAsia="仿宋_GB2312" w:cs="仿宋_GB2312"/>
                <w:i w:val="0"/>
                <w:iCs w:val="0"/>
                <w:caps w:val="0"/>
                <w:color w:val="000000"/>
                <w:spacing w:val="0"/>
                <w:sz w:val="32"/>
                <w:szCs w:val="32"/>
              </w:rPr>
              <w:t>当事人：</w:t>
            </w:r>
            <w:r>
              <w:rPr>
                <w:rFonts w:hint="eastAsia" w:ascii="仿宋" w:hAnsi="仿宋" w:eastAsia="仿宋" w:cs="仿宋"/>
                <w:i w:val="0"/>
                <w:iCs w:val="0"/>
                <w:caps w:val="0"/>
                <w:color w:val="000000"/>
                <w:spacing w:val="0"/>
                <w:sz w:val="32"/>
                <w:szCs w:val="32"/>
              </w:rPr>
              <w:t>广州蓝海洋检测技术有限公司</w:t>
            </w:r>
          </w:p>
          <w:p>
            <w:pPr>
              <w:pStyle w:val="3"/>
              <w:keepNext w:val="0"/>
              <w:keepLines w:val="0"/>
              <w:widowControl/>
              <w:suppressLineNumbers w:val="0"/>
              <w:ind w:left="0" w:right="0"/>
              <w:jc w:val="both"/>
            </w:pPr>
            <w:r>
              <w:rPr>
                <w:rFonts w:hint="default" w:ascii="仿宋_GB2312" w:hAnsi="Times New Roman" w:eastAsia="仿宋_GB2312" w:cs="仿宋_GB2312"/>
                <w:i w:val="0"/>
                <w:iCs w:val="0"/>
                <w:caps w:val="0"/>
                <w:color w:val="000000"/>
                <w:spacing w:val="0"/>
                <w:sz w:val="32"/>
                <w:szCs w:val="32"/>
              </w:rPr>
              <w:t>统一社会信用代码：</w:t>
            </w:r>
            <w:r>
              <w:rPr>
                <w:rFonts w:hint="default" w:ascii="Times New Roman" w:hAnsi="Times New Roman" w:eastAsia="微软雅黑" w:cs="Times New Roman"/>
                <w:i w:val="0"/>
                <w:iCs w:val="0"/>
                <w:caps w:val="0"/>
                <w:color w:val="000000"/>
                <w:spacing w:val="0"/>
                <w:sz w:val="32"/>
                <w:szCs w:val="32"/>
              </w:rPr>
              <w:t>91440183MACCFAXH</w:t>
            </w:r>
          </w:p>
          <w:p>
            <w:pPr>
              <w:pStyle w:val="3"/>
              <w:keepNext w:val="0"/>
              <w:keepLines w:val="0"/>
              <w:widowControl/>
              <w:suppressLineNumbers w:val="0"/>
              <w:ind w:left="0" w:right="0"/>
              <w:jc w:val="both"/>
            </w:pPr>
            <w:r>
              <w:rPr>
                <w:rFonts w:hint="default" w:ascii="仿宋_GB2312" w:hAnsi="Times New Roman" w:eastAsia="仿宋_GB2312" w:cs="仿宋_GB2312"/>
                <w:i w:val="0"/>
                <w:iCs w:val="0"/>
                <w:caps w:val="0"/>
                <w:color w:val="000000"/>
                <w:spacing w:val="0"/>
                <w:sz w:val="32"/>
                <w:szCs w:val="32"/>
              </w:rPr>
              <w:t>地</w:t>
            </w:r>
            <w:r>
              <w:rPr>
                <w:rFonts w:hint="default" w:ascii="Times New Roman" w:hAnsi="Times New Roman" w:eastAsia="微软雅黑" w:cs="Times New Roman"/>
                <w:i w:val="0"/>
                <w:iCs w:val="0"/>
                <w:caps w:val="0"/>
                <w:color w:val="000000"/>
                <w:spacing w:val="0"/>
                <w:sz w:val="21"/>
                <w:szCs w:val="21"/>
              </w:rPr>
              <w:t>  </w:t>
            </w:r>
            <w:r>
              <w:rPr>
                <w:rFonts w:hint="default" w:ascii="仿宋_GB2312" w:hAnsi="Times New Roman" w:eastAsia="仿宋_GB2312" w:cs="仿宋_GB2312"/>
                <w:i w:val="0"/>
                <w:iCs w:val="0"/>
                <w:caps w:val="0"/>
                <w:color w:val="000000"/>
                <w:spacing w:val="0"/>
                <w:sz w:val="32"/>
                <w:szCs w:val="32"/>
              </w:rPr>
              <w:t>址：广州市增城区新塘镇新墩村广深大道富勤大厦203室</w:t>
            </w:r>
          </w:p>
          <w:p>
            <w:pPr>
              <w:pStyle w:val="3"/>
              <w:keepNext w:val="0"/>
              <w:keepLines w:val="0"/>
              <w:widowControl/>
              <w:suppressLineNumbers w:val="0"/>
              <w:ind w:left="0" w:right="0"/>
              <w:jc w:val="both"/>
            </w:pPr>
            <w:r>
              <w:rPr>
                <w:rFonts w:hint="eastAsia" w:ascii="微软雅黑" w:hAnsi="微软雅黑" w:eastAsia="微软雅黑" w:cs="微软雅黑"/>
                <w:i w:val="0"/>
                <w:iCs w:val="0"/>
                <w:caps w:val="0"/>
                <w:color w:val="000000"/>
                <w:spacing w:val="0"/>
                <w:sz w:val="27"/>
                <w:szCs w:val="27"/>
              </w:rPr>
              <w:t> </w:t>
            </w:r>
          </w:p>
          <w:p>
            <w:pPr>
              <w:spacing w:line="560" w:lineRule="exact"/>
              <w:ind w:firstLine="640" w:firstLineChars="200"/>
              <w:rPr>
                <w:rFonts w:hint="eastAsia" w:ascii="仿宋_GB2312" w:hAnsi="Times New Roman" w:eastAsia="仿宋_GB2312" w:cs="仿宋_GB2312"/>
                <w:i w:val="0"/>
                <w:iCs w:val="0"/>
                <w:caps w:val="0"/>
                <w:color w:val="000000"/>
                <w:spacing w:val="0"/>
                <w:kern w:val="0"/>
                <w:sz w:val="32"/>
                <w:szCs w:val="32"/>
                <w:lang w:val="en-US" w:eastAsia="zh-CN" w:bidi="ar"/>
              </w:rPr>
            </w:pPr>
            <w:r>
              <w:rPr>
                <w:rFonts w:hint="eastAsia" w:ascii="仿宋_GB2312" w:hAnsi="Times New Roman" w:eastAsia="仿宋_GB2312" w:cs="仿宋_GB2312"/>
                <w:i w:val="0"/>
                <w:iCs w:val="0"/>
                <w:caps w:val="0"/>
                <w:color w:val="000000"/>
                <w:spacing w:val="0"/>
                <w:kern w:val="0"/>
                <w:sz w:val="32"/>
                <w:szCs w:val="32"/>
                <w:lang w:val="en-US" w:eastAsia="zh-CN" w:bidi="ar"/>
              </w:rPr>
              <w:t>经我局执法人员调查发现，当事人主要从事水、气、声检测服务，已取得广东省市场监督管理局颁发的资质认定证书（证书编号：201919114712，有效期至：2025年11月18日）；当事人承接了茂名市电白区创发建材有限公司委托检测业务，于2021年7月29日派出采样人员前往该公司进行废水、有组织废气、无组织废气及噪声采样监测，并出具了检测报告（报告编号：LHY2107A039）。经查明，上述检测报告存在如下问题：一是当事人就该次采样出具了编号相同但部分检测结果（有组织废气隧道窑处理后排放口二氧化硫排放浓度、折算浓度、排放速率）不同的两份检测报告，且两份报告均未按照《砖瓦工业大气污染物排放标准》（GB29620-2013）修改单中大气污染物基准排放浓度的要求进行折算，两份报告中的二氧化硫、颗粒物、氮氧化物折算浓度均计算失实；二是当事人提供的该次采样原始记录中二氧化硫烟气浓度的没有按照《固定污染源废气 二氧化硫的测定 定电位电解法》（HJ 57-2017）要求按分钟保存测定数据，亦未按要求同时测定一氧化碳浓度；三是当事人在该次采样中仅实际开展无组织排放的颗粒物采样且采样时间、地点与事实不符，未对无组织排放的二氧化硫、氟化物进行采样但出具了相关检测数据，且该次采样的隧道窑处理后排放口二氧化物、氮氧化物等采样时间、地点亦与事实不符。</w:t>
            </w:r>
          </w:p>
          <w:p>
            <w:pPr>
              <w:spacing w:line="560" w:lineRule="exact"/>
              <w:ind w:firstLine="640" w:firstLineChars="200"/>
              <w:rPr>
                <w:rFonts w:hint="eastAsia" w:ascii="仿宋_GB2312" w:hAnsi="Times New Roman" w:eastAsia="仿宋_GB2312" w:cs="仿宋_GB2312"/>
                <w:i w:val="0"/>
                <w:iCs w:val="0"/>
                <w:caps w:val="0"/>
                <w:color w:val="000000"/>
                <w:spacing w:val="0"/>
                <w:kern w:val="0"/>
                <w:sz w:val="32"/>
                <w:szCs w:val="32"/>
                <w:lang w:val="en-US" w:eastAsia="zh-CN" w:bidi="ar"/>
              </w:rPr>
            </w:pPr>
            <w:r>
              <w:rPr>
                <w:rFonts w:hint="eastAsia" w:ascii="仿宋_GB2312" w:hAnsi="Times New Roman" w:eastAsia="仿宋_GB2312" w:cs="仿宋_GB2312"/>
                <w:i w:val="0"/>
                <w:iCs w:val="0"/>
                <w:caps w:val="0"/>
                <w:color w:val="000000"/>
                <w:spacing w:val="0"/>
                <w:kern w:val="0"/>
                <w:sz w:val="32"/>
                <w:szCs w:val="32"/>
                <w:lang w:val="en-US" w:eastAsia="zh-CN" w:bidi="ar"/>
              </w:rPr>
              <w:t>以上事实，有现场检查笔录、调查询问笔录、检测报告（报告编号：LHY2107A039）、营业执照、检验检测机构资质认定证书、固定污染源排气中烟气现场监测原始记录表、废气采样原始记录表、无组织废气采样原始记录表等证据为证。</w:t>
            </w:r>
          </w:p>
          <w:p>
            <w:pPr>
              <w:spacing w:line="560" w:lineRule="exact"/>
              <w:ind w:firstLine="640" w:firstLineChars="200"/>
              <w:rPr>
                <w:rFonts w:hint="eastAsia" w:ascii="仿宋_GB2312" w:hAnsi="Times New Roman" w:eastAsia="仿宋_GB2312" w:cs="仿宋_GB2312"/>
                <w:i w:val="0"/>
                <w:iCs w:val="0"/>
                <w:caps w:val="0"/>
                <w:color w:val="000000"/>
                <w:spacing w:val="0"/>
                <w:kern w:val="0"/>
                <w:sz w:val="32"/>
                <w:szCs w:val="32"/>
                <w:lang w:val="en-US" w:eastAsia="zh-CN" w:bidi="ar"/>
              </w:rPr>
            </w:pPr>
            <w:r>
              <w:rPr>
                <w:rFonts w:hint="eastAsia" w:ascii="仿宋_GB2312" w:hAnsi="Times New Roman" w:eastAsia="仿宋_GB2312" w:cs="仿宋_GB2312"/>
                <w:i w:val="0"/>
                <w:iCs w:val="0"/>
                <w:caps w:val="0"/>
                <w:color w:val="000000"/>
                <w:spacing w:val="0"/>
                <w:kern w:val="0"/>
                <w:sz w:val="32"/>
                <w:szCs w:val="32"/>
                <w:lang w:val="en-US" w:eastAsia="zh-CN" w:bidi="ar"/>
              </w:rPr>
              <w:t>当事人未按照环境监测规范，造成监测数据失实的行为违反了《广东省环境保护条例》第十二条第三款的规定。我局于2021年12月13日向当事人邮寄送达《行政处罚事先告知书》（穗环法告〔2021〕11号），告知当事人拟作出的处罚内容及事实、理由、依据，并告知了陈述、申辩的权利。当事人在法定期限内未提交陈述申辩材料。</w:t>
            </w:r>
          </w:p>
          <w:p>
            <w:pPr>
              <w:spacing w:line="560" w:lineRule="exact"/>
              <w:ind w:firstLine="640" w:firstLineChars="200"/>
              <w:rPr>
                <w:rFonts w:hint="eastAsia" w:ascii="仿宋_GB2312" w:hAnsi="Times New Roman" w:eastAsia="仿宋_GB2312" w:cs="仿宋_GB2312"/>
                <w:i w:val="0"/>
                <w:iCs w:val="0"/>
                <w:caps w:val="0"/>
                <w:color w:val="000000"/>
                <w:spacing w:val="0"/>
                <w:kern w:val="0"/>
                <w:sz w:val="32"/>
                <w:szCs w:val="32"/>
                <w:lang w:val="en-US" w:eastAsia="zh-CN" w:bidi="ar"/>
              </w:rPr>
            </w:pPr>
            <w:r>
              <w:rPr>
                <w:rFonts w:hint="eastAsia" w:ascii="仿宋_GB2312" w:hAnsi="Times New Roman" w:eastAsia="仿宋_GB2312" w:cs="仿宋_GB2312"/>
                <w:i w:val="0"/>
                <w:iCs w:val="0"/>
                <w:caps w:val="0"/>
                <w:color w:val="000000"/>
                <w:spacing w:val="0"/>
                <w:kern w:val="0"/>
                <w:sz w:val="32"/>
                <w:szCs w:val="32"/>
                <w:lang w:val="en-US" w:eastAsia="zh-CN" w:bidi="ar"/>
              </w:rPr>
              <w:t>经审查，我局认为，当事人违法行为事实清楚、证据充分，依法应当予以处罚。现本案经我局审查结束。</w:t>
            </w:r>
          </w:p>
          <w:p>
            <w:pPr>
              <w:spacing w:line="560" w:lineRule="exact"/>
              <w:ind w:firstLine="640" w:firstLineChars="200"/>
              <w:rPr>
                <w:rFonts w:hint="eastAsia" w:ascii="仿宋_GB2312" w:hAnsi="Times New Roman" w:eastAsia="仿宋_GB2312" w:cs="仿宋_GB2312"/>
                <w:i w:val="0"/>
                <w:iCs w:val="0"/>
                <w:caps w:val="0"/>
                <w:color w:val="000000"/>
                <w:spacing w:val="0"/>
                <w:kern w:val="0"/>
                <w:sz w:val="32"/>
                <w:szCs w:val="32"/>
                <w:lang w:val="en-US" w:eastAsia="zh-CN" w:bidi="ar"/>
              </w:rPr>
            </w:pPr>
            <w:r>
              <w:rPr>
                <w:rFonts w:hint="eastAsia" w:ascii="仿宋_GB2312" w:hAnsi="Times New Roman" w:eastAsia="仿宋_GB2312" w:cs="仿宋_GB2312"/>
                <w:i w:val="0"/>
                <w:iCs w:val="0"/>
                <w:caps w:val="0"/>
                <w:color w:val="000000"/>
                <w:spacing w:val="0"/>
                <w:kern w:val="0"/>
                <w:sz w:val="32"/>
                <w:szCs w:val="32"/>
                <w:lang w:val="en-US" w:eastAsia="zh-CN" w:bidi="ar"/>
              </w:rPr>
              <w:t>根据《广东省环境保护条例》第六十四条第二款及《广州市规范生态环境行政处罚自由裁量权规定》附件第19.2.1项的规定，我局现对当事人作出如下行政处罚：</w:t>
            </w:r>
          </w:p>
          <w:p>
            <w:pPr>
              <w:spacing w:line="560" w:lineRule="exact"/>
              <w:ind w:firstLine="640" w:firstLineChars="200"/>
              <w:rPr>
                <w:rFonts w:hint="eastAsia" w:ascii="仿宋_GB2312" w:hAnsi="Times New Roman" w:eastAsia="仿宋_GB2312" w:cs="仿宋_GB2312"/>
                <w:i w:val="0"/>
                <w:iCs w:val="0"/>
                <w:caps w:val="0"/>
                <w:color w:val="000000"/>
                <w:spacing w:val="0"/>
                <w:kern w:val="0"/>
                <w:sz w:val="32"/>
                <w:szCs w:val="32"/>
                <w:lang w:val="en-US" w:eastAsia="zh-CN" w:bidi="ar"/>
              </w:rPr>
            </w:pPr>
            <w:r>
              <w:rPr>
                <w:rFonts w:hint="eastAsia" w:ascii="仿宋_GB2312" w:hAnsi="Times New Roman" w:eastAsia="仿宋_GB2312" w:cs="仿宋_GB2312"/>
                <w:i w:val="0"/>
                <w:iCs w:val="0"/>
                <w:caps w:val="0"/>
                <w:color w:val="000000"/>
                <w:spacing w:val="0"/>
                <w:kern w:val="0"/>
                <w:sz w:val="32"/>
                <w:szCs w:val="32"/>
                <w:lang w:val="en-US" w:eastAsia="zh-CN" w:bidi="ar"/>
              </w:rPr>
              <w:t>罚款5万元。</w:t>
            </w:r>
          </w:p>
          <w:p>
            <w:pPr>
              <w:spacing w:line="560" w:lineRule="exact"/>
              <w:ind w:firstLine="640" w:firstLineChars="200"/>
              <w:rPr>
                <w:rFonts w:hint="eastAsia" w:ascii="仿宋_GB2312" w:hAnsi="Times New Roman" w:eastAsia="仿宋_GB2312" w:cs="仿宋_GB2312"/>
                <w:i w:val="0"/>
                <w:iCs w:val="0"/>
                <w:caps w:val="0"/>
                <w:color w:val="000000"/>
                <w:spacing w:val="0"/>
                <w:kern w:val="0"/>
                <w:sz w:val="32"/>
                <w:szCs w:val="32"/>
                <w:lang w:val="en-US" w:eastAsia="zh-CN" w:bidi="ar"/>
              </w:rPr>
            </w:pPr>
            <w:r>
              <w:rPr>
                <w:rFonts w:hint="eastAsia" w:ascii="仿宋_GB2312" w:hAnsi="Times New Roman" w:eastAsia="仿宋_GB2312" w:cs="仿宋_GB2312"/>
                <w:i w:val="0"/>
                <w:iCs w:val="0"/>
                <w:caps w:val="0"/>
                <w:color w:val="000000"/>
                <w:spacing w:val="0"/>
                <w:kern w:val="0"/>
                <w:sz w:val="32"/>
                <w:szCs w:val="32"/>
                <w:lang w:val="en-US" w:eastAsia="zh-CN" w:bidi="ar"/>
              </w:rPr>
              <w:t>限当事人在收到本处罚决定书之日起15日内，按照《广州市非税收入缴款通知书》的要求，将上述罚款缴到非税收入代收银行（工商银行、建设银行、广州银行、广州农村商业银行、中国银行、农业银行、邮政储蓄银行、交通银行、光大银行、中信银行、广发银行、浦发银行、华夏银行、招商银行、民生银行、兴业银行、平安银行、广东华兴银行、创兴银行、浙商银行、渤海银行、珠海华润银行、九江银行、东莞银行、江西银行、广东南粤银行、长沙银行），收入项目编码：3124。</w:t>
            </w:r>
          </w:p>
          <w:p>
            <w:pPr>
              <w:spacing w:line="560" w:lineRule="exact"/>
              <w:ind w:firstLine="640" w:firstLineChars="200"/>
              <w:rPr>
                <w:rFonts w:hint="eastAsia" w:ascii="仿宋_GB2312" w:hAnsi="Times New Roman" w:eastAsia="仿宋_GB2312" w:cs="仿宋_GB2312"/>
                <w:i w:val="0"/>
                <w:iCs w:val="0"/>
                <w:caps w:val="0"/>
                <w:color w:val="000000"/>
                <w:spacing w:val="0"/>
                <w:kern w:val="0"/>
                <w:sz w:val="32"/>
                <w:szCs w:val="32"/>
                <w:lang w:val="en-US" w:eastAsia="zh-CN" w:bidi="ar"/>
              </w:rPr>
            </w:pPr>
            <w:r>
              <w:rPr>
                <w:rFonts w:hint="eastAsia" w:ascii="仿宋_GB2312" w:hAnsi="Times New Roman" w:eastAsia="仿宋_GB2312" w:cs="仿宋_GB2312"/>
                <w:i w:val="0"/>
                <w:iCs w:val="0"/>
                <w:caps w:val="0"/>
                <w:color w:val="000000"/>
                <w:spacing w:val="0"/>
                <w:kern w:val="0"/>
                <w:sz w:val="32"/>
                <w:szCs w:val="32"/>
                <w:lang w:val="en-US" w:eastAsia="zh-CN" w:bidi="ar"/>
              </w:rPr>
              <w:t>如不服上述行政处罚决定，可在接到本决定之日起60日内，向广州市人民政府（地址：越秀区小北路183号金和大厦2楼，电话：83555988）或广东省生态环境厅（地址：天河区龙口西路213号，电话：87533928、87531656）提出行政复议申请（我市正在进行行政复议体制改革，市政府各部门被复议案件统一由市人民政府办理，建议向市人民政府提出行政复议申请），或在6个月内直接向有管辖权的人民法院提起行政诉讼。行政复议、行政诉讼期间内，不得停止本决定的履行。根据《广东省人民政府关于县级以上人民政府统一行使行政复议职责有关事项的通告》（粤府函〔2021〕99号）的规定，自2021年6月1日起县级以上人民政府统一行使行政复议职责，建议您向广州市人民政府提出行政复议申请。申请行政复议或提起行政诉讼的，不停止本决定的执行。</w:t>
            </w:r>
          </w:p>
          <w:p>
            <w:pPr>
              <w:spacing w:line="560" w:lineRule="exact"/>
              <w:ind w:firstLine="640" w:firstLineChars="200"/>
            </w:pPr>
            <w:r>
              <w:rPr>
                <w:rFonts w:hint="eastAsia" w:ascii="仿宋_GB2312" w:hAnsi="Times New Roman" w:eastAsia="仿宋_GB2312" w:cs="仿宋_GB2312"/>
                <w:i w:val="0"/>
                <w:iCs w:val="0"/>
                <w:caps w:val="0"/>
                <w:color w:val="000000"/>
                <w:spacing w:val="0"/>
                <w:kern w:val="0"/>
                <w:sz w:val="32"/>
                <w:szCs w:val="32"/>
                <w:lang w:val="en-US" w:eastAsia="zh-CN" w:bidi="ar"/>
              </w:rPr>
              <w:t>根据《中华人民共和国行政处罚法》第七十二条规定，当事人逾期不履行本处罚决定的，我局将每日按罚款额的百分之三加处罚款，并依照《中华人民共和国行政强制法》的规定申请人民法院强制执行。</w:t>
            </w:r>
          </w:p>
          <w:p>
            <w:pPr>
              <w:pStyle w:val="3"/>
              <w:keepNext w:val="0"/>
              <w:keepLines w:val="0"/>
              <w:widowControl/>
              <w:suppressLineNumbers w:val="0"/>
              <w:ind w:left="0" w:right="0"/>
              <w:jc w:val="both"/>
            </w:pPr>
            <w:r>
              <w:rPr>
                <w:rFonts w:hint="eastAsia" w:ascii="微软雅黑" w:hAnsi="微软雅黑" w:eastAsia="微软雅黑" w:cs="微软雅黑"/>
                <w:i w:val="0"/>
                <w:iCs w:val="0"/>
                <w:caps w:val="0"/>
                <w:color w:val="000000"/>
                <w:spacing w:val="0"/>
                <w:sz w:val="27"/>
                <w:szCs w:val="27"/>
              </w:rPr>
              <w:t> </w:t>
            </w:r>
            <w:bookmarkStart w:id="0" w:name="_GoBack"/>
            <w:bookmarkEnd w:id="0"/>
          </w:p>
          <w:p>
            <w:pPr>
              <w:pStyle w:val="3"/>
              <w:keepNext w:val="0"/>
              <w:keepLines w:val="0"/>
              <w:widowControl/>
              <w:suppressLineNumbers w:val="0"/>
              <w:ind w:left="0" w:right="0"/>
              <w:jc w:val="both"/>
            </w:pPr>
            <w:r>
              <w:rPr>
                <w:rFonts w:hint="eastAsia" w:ascii="微软雅黑" w:hAnsi="微软雅黑" w:eastAsia="微软雅黑" w:cs="微软雅黑"/>
                <w:i w:val="0"/>
                <w:iCs w:val="0"/>
                <w:caps w:val="0"/>
                <w:color w:val="000000"/>
                <w:spacing w:val="0"/>
                <w:sz w:val="27"/>
                <w:szCs w:val="27"/>
              </w:rPr>
              <w:t> </w:t>
            </w:r>
          </w:p>
          <w:p>
            <w:pPr>
              <w:pStyle w:val="3"/>
              <w:keepNext w:val="0"/>
              <w:keepLines w:val="0"/>
              <w:widowControl/>
              <w:suppressLineNumbers w:val="0"/>
              <w:ind w:left="0" w:right="0"/>
              <w:jc w:val="right"/>
            </w:pPr>
            <w:r>
              <w:rPr>
                <w:rFonts w:hint="default" w:ascii="Times New Roman" w:hAnsi="Times New Roman" w:eastAsia="微软雅黑" w:cs="Times New Roman"/>
                <w:i w:val="0"/>
                <w:iCs w:val="0"/>
                <w:caps w:val="0"/>
                <w:color w:val="000000"/>
                <w:spacing w:val="0"/>
                <w:sz w:val="21"/>
                <w:szCs w:val="21"/>
              </w:rPr>
              <w:t>   </w:t>
            </w:r>
            <w:r>
              <w:rPr>
                <w:rFonts w:hint="default" w:ascii="仿宋_GB2312" w:hAnsi="Times New Roman" w:eastAsia="仿宋_GB2312" w:cs="仿宋_GB2312"/>
                <w:i w:val="0"/>
                <w:iCs w:val="0"/>
                <w:caps w:val="0"/>
                <w:color w:val="000000"/>
                <w:spacing w:val="0"/>
                <w:sz w:val="32"/>
                <w:szCs w:val="32"/>
              </w:rPr>
              <w:t>广州市生态环境局</w:t>
            </w:r>
          </w:p>
          <w:p>
            <w:pPr>
              <w:pStyle w:val="3"/>
              <w:keepNext w:val="0"/>
              <w:keepLines w:val="0"/>
              <w:widowControl/>
              <w:suppressLineNumbers w:val="0"/>
              <w:ind w:left="0" w:right="0"/>
              <w:jc w:val="right"/>
            </w:pPr>
            <w:r>
              <w:rPr>
                <w:rFonts w:hint="default" w:ascii="仿宋_GB2312" w:hAnsi="Times New Roman" w:eastAsia="仿宋_GB2312" w:cs="仿宋_GB2312"/>
                <w:i w:val="0"/>
                <w:iCs w:val="0"/>
                <w:caps w:val="0"/>
                <w:color w:val="000000"/>
                <w:spacing w:val="0"/>
                <w:sz w:val="32"/>
                <w:szCs w:val="32"/>
              </w:rPr>
              <w:t>2021年12月23日</w:t>
            </w:r>
          </w:p>
          <w:p>
            <w:pPr>
              <w:pStyle w:val="3"/>
              <w:keepNext w:val="0"/>
              <w:keepLines w:val="0"/>
              <w:widowControl/>
              <w:suppressLineNumbers w:val="0"/>
              <w:ind w:left="0" w:right="0"/>
              <w:jc w:val="right"/>
            </w:pPr>
            <w:r>
              <w:rPr>
                <w:rFonts w:hint="eastAsia" w:ascii="微软雅黑" w:hAnsi="微软雅黑" w:eastAsia="微软雅黑" w:cs="微软雅黑"/>
                <w:i w:val="0"/>
                <w:iCs w:val="0"/>
                <w:caps w:val="0"/>
                <w:color w:val="000000"/>
                <w:spacing w:val="0"/>
                <w:sz w:val="27"/>
                <w:szCs w:val="27"/>
              </w:rPr>
              <w:t> </w:t>
            </w:r>
          </w:p>
          <w:p>
            <w:pPr>
              <w:pStyle w:val="3"/>
              <w:keepNext w:val="0"/>
              <w:keepLines w:val="0"/>
              <w:widowControl/>
              <w:suppressLineNumbers w:val="0"/>
              <w:ind w:left="0" w:right="0"/>
              <w:jc w:val="left"/>
            </w:pPr>
            <w:r>
              <w:rPr>
                <w:rFonts w:hint="default" w:ascii="仿宋_GB2312" w:hAnsi="Times New Roman" w:eastAsia="仿宋_GB2312" w:cs="仿宋_GB2312"/>
                <w:i w:val="0"/>
                <w:iCs w:val="0"/>
                <w:caps w:val="0"/>
                <w:color w:val="000000"/>
                <w:spacing w:val="0"/>
                <w:sz w:val="32"/>
                <w:szCs w:val="32"/>
              </w:rPr>
              <w:t>抄送：局监测处、应急处，市生态环境局增城分局。</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F36F61"/>
    <w:rsid w:val="033B6D65"/>
    <w:rsid w:val="069426AD"/>
    <w:rsid w:val="10F36F61"/>
    <w:rsid w:val="25FA4432"/>
    <w:rsid w:val="437C7B4A"/>
    <w:rsid w:val="450917AA"/>
    <w:rsid w:val="60E17495"/>
    <w:rsid w:val="66F21D0B"/>
    <w:rsid w:val="73E1530F"/>
    <w:rsid w:val="77A147E9"/>
    <w:rsid w:val="7B3F4D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uiPriority w:val="0"/>
    <w:pPr>
      <w:spacing w:after="12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customStyle="1" w:styleId="7">
    <w:name w:val="col-title1"/>
    <w:basedOn w:val="5"/>
    <w:qFormat/>
    <w:uiPriority w:val="0"/>
    <w:rPr>
      <w:rFonts w:hint="eastAsia" w:ascii="宋体" w:hAnsi="宋体" w:eastAsia="宋体" w:cs="宋体"/>
      <w:b/>
      <w:bCs/>
      <w:color w:val="000000"/>
    </w:rPr>
  </w:style>
  <w:style w:type="character" w:customStyle="1" w:styleId="8">
    <w:name w:val="col-content1"/>
    <w:basedOn w:val="5"/>
    <w:qFormat/>
    <w:uiPriority w:val="0"/>
    <w:rPr>
      <w:rFonts w:hint="eastAsia" w:ascii="宋体" w:hAnsi="宋体" w:eastAsia="宋体" w:cs="宋体"/>
      <w:color w:val="0000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2020-07-27T06:18:00Z</dcterms:created>
  <dc:creator>陈璐</dc:creator>
  <cp:lastModifiedBy>O</cp:lastModifiedBy>
  <dcterms:modified xsi:type="dcterms:W3CDTF">2021-12-28T07:31:30Z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B8BBBEF52AD8467BBA30FD96A35F2233</vt:lpwstr>
  </property>
</Properties>
</file>