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0" w:type="auto"/>
        <w:jc w:val="center"/>
        <w:tblCellSpacing w:w="0" w:type="dxa"/>
        <w:shd w:val="clear" w:color="auto" w:fill="auto"/>
        <w:tblLayout w:type="autofit"/>
        <w:tblCellMar>
          <w:top w:w="0" w:type="dxa"/>
          <w:left w:w="0" w:type="dxa"/>
          <w:bottom w:w="0" w:type="dxa"/>
          <w:right w:w="0" w:type="dxa"/>
        </w:tblCellMar>
      </w:tblPr>
      <w:tblGrid>
        <w:gridCol w:w="13958"/>
      </w:tblGrid>
      <w:tr>
        <w:tblPrEx>
          <w:shd w:val="clear" w:color="auto" w:fill="auto"/>
          <w:tblCellMar>
            <w:top w:w="0" w:type="dxa"/>
            <w:left w:w="0" w:type="dxa"/>
            <w:bottom w:w="0" w:type="dxa"/>
            <w:right w:w="0" w:type="dxa"/>
          </w:tblCellMar>
        </w:tblPrEx>
        <w:trPr>
          <w:tblCellSpacing w:w="0" w:type="dxa"/>
          <w:jc w:val="center"/>
        </w:trPr>
        <w:tc>
          <w:tcPr>
            <w:tcW w:w="0" w:type="auto"/>
            <w:shd w:val="clear" w:color="auto" w:fill="auto"/>
            <w:vAlign w:val="center"/>
          </w:tcPr>
          <w:tbl>
            <w:tblPr>
              <w:tblW w:w="5000" w:type="pct"/>
              <w:tblInd w:w="-92" w:type="dxa"/>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Layout w:type="autofit"/>
              <w:tblCellMar>
                <w:top w:w="15" w:type="dxa"/>
                <w:left w:w="15" w:type="dxa"/>
                <w:bottom w:w="15" w:type="dxa"/>
                <w:right w:w="15" w:type="dxa"/>
              </w:tblCellMar>
            </w:tblPr>
            <w:tblGrid>
              <w:gridCol w:w="1151"/>
              <w:gridCol w:w="4519"/>
              <w:gridCol w:w="1812"/>
              <w:gridCol w:w="1364"/>
              <w:gridCol w:w="1364"/>
              <w:gridCol w:w="1813"/>
              <w:gridCol w:w="1925"/>
            </w:tblGrid>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行政处罚决定文书号 :</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bdr w:val="none" w:color="auto" w:sz="0" w:space="0"/>
                      <w:lang w:val="en-US" w:eastAsia="zh-CN" w:bidi="ar"/>
                    </w:rPr>
                    <w:t>穗环法罚【2021】6号</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行政相对人类别:</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bdr w:val="none" w:color="auto" w:sz="0" w:space="0"/>
                      <w:lang w:val="en-US" w:eastAsia="zh-CN" w:bidi="ar"/>
                    </w:rPr>
                    <w:t>法人</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处罚类别:</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bdr w:val="none" w:color="auto" w:sz="0" w:space="0"/>
                      <w:lang w:val="en-US" w:eastAsia="zh-CN" w:bidi="ar"/>
                    </w:rPr>
                    <w:t>罚款</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违法事实:</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bdr w:val="none" w:color="auto" w:sz="0" w:space="0"/>
                      <w:lang w:val="en-US" w:eastAsia="zh-CN" w:bidi="ar"/>
                    </w:rPr>
                    <w:t>经我局执法人员调查发现，你公司于2019年3月为广州兴南华建材有限公司（以下简称“兴南华公司”）安装一套烟气自动监控系统，该系统已与重点污染源自动监控与基础数据库系统（国发平台）和广州市污染源自动监控平台联网，并由你公司运维至今。2021年7月1日我局现场检查上述烟气自动监控系统并调阅历史数据发现，兴南华公司烟气自动监控系统的基准氧含量参数未按照广东省《锅炉大气污染物排放标准》（DB44/765-2019）表6规定的燃生物质成型燃料锅炉基准氧含量设置为9%，以致其上传至国发平台和广州市污染源自动监控平台的部分污染物数据折算浓度低于实测浓度，未能真实反映兴南华公司排污状况。你公司作为自动监控设施的管理运营单位，通过不正确设置基准氧含量参数的方式导致兴南华公司的自动监控数据失真，未履行保障自动监控设施正常运行的法定义务，属于篡改自动监控数据的弄虚作假行为。</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处罚依据:</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bdr w:val="none" w:color="auto" w:sz="0" w:space="0"/>
                      <w:lang w:val="en-US" w:eastAsia="zh-CN" w:bidi="ar"/>
                    </w:rPr>
                    <w:t>《广东省环境保护条例》：违反本条例第二十六条第二款规定，自动监控设施的管理运营单位弄虚作假，隐瞒、伪造、篡改自动监控数据的，由县级以上生态环境主管部门责令限期改正，处五万元以上二十万元以下罚款；逾期不改正的，责令停产整治；…… , 《广东省环境保护条例》第七十条</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处罚内容:</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bdr w:val="none" w:color="auto" w:sz="0" w:space="0"/>
                      <w:lang w:val="en-US" w:eastAsia="zh-CN" w:bidi="ar"/>
                    </w:rPr>
                    <w:t>详见处罚决定文书</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行政相对人名称:</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jc w:val="left"/>
                    <w:rPr>
                      <w:rFonts w:hint="eastAsia" w:ascii="微软雅黑" w:hAnsi="微软雅黑" w:eastAsia="微软雅黑" w:cs="微软雅黑"/>
                      <w:i w:val="0"/>
                      <w:iCs w:val="0"/>
                      <w:caps w:val="0"/>
                      <w:color w:val="102401"/>
                      <w:spacing w:val="0"/>
                      <w:sz w:val="18"/>
                      <w:szCs w:val="18"/>
                    </w:rPr>
                  </w:pPr>
                  <w:r>
                    <w:rPr>
                      <w:rFonts w:hint="eastAsia" w:ascii="微软雅黑" w:hAnsi="微软雅黑" w:eastAsia="微软雅黑" w:cs="微软雅黑"/>
                      <w:i w:val="0"/>
                      <w:iCs w:val="0"/>
                      <w:caps w:val="0"/>
                      <w:color w:val="102401"/>
                      <w:spacing w:val="0"/>
                      <w:sz w:val="18"/>
                      <w:szCs w:val="18"/>
                    </w:rPr>
                    <w:t>广州正虹环境科技有限公司</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15" w:type="dxa"/>
                  <w:left w:w="15" w:type="dxa"/>
                  <w:bottom w:w="15" w:type="dxa"/>
                  <w:right w:w="15" w:type="dxa"/>
                </w:tblCellMar>
              </w:tblPrEx>
              <w:tc>
                <w:tcPr>
                  <w:tcW w:w="0" w:type="auto"/>
                  <w:vMerge w:val="restart"/>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行政相对人代码:</w:t>
                  </w:r>
                </w:p>
              </w:tc>
              <w:tc>
                <w:tcPr>
                  <w:tcW w:w="10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统一社会信用代码</w:t>
                  </w:r>
                </w:p>
              </w:tc>
              <w:tc>
                <w:tcPr>
                  <w:tcW w:w="7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组织机构代码</w:t>
                  </w:r>
                </w:p>
              </w:tc>
              <w:tc>
                <w:tcPr>
                  <w:tcW w:w="675"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工商登记码</w:t>
                  </w:r>
                </w:p>
              </w:tc>
              <w:tc>
                <w:tcPr>
                  <w:tcW w:w="675"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税务登记号</w:t>
                  </w:r>
                </w:p>
              </w:tc>
              <w:tc>
                <w:tcPr>
                  <w:tcW w:w="10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事业单位证书号</w:t>
                  </w:r>
                </w:p>
              </w:tc>
              <w:tc>
                <w:tcPr>
                  <w:tcW w:w="1125"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社会组织登记证号</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15" w:type="dxa"/>
                  <w:left w:w="15" w:type="dxa"/>
                  <w:bottom w:w="15" w:type="dxa"/>
                  <w:right w:w="15" w:type="dxa"/>
                </w:tblCellMar>
              </w:tblPrEx>
              <w:tc>
                <w:tcPr>
                  <w:tcW w:w="0" w:type="auto"/>
                  <w:vMerge w:val="continue"/>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jc w:val="right"/>
                    <w:rPr>
                      <w:rFonts w:hint="eastAsia" w:ascii="微软雅黑" w:hAnsi="微软雅黑" w:eastAsia="微软雅黑" w:cs="微软雅黑"/>
                      <w:i w:val="0"/>
                      <w:iCs w:val="0"/>
                      <w:caps w:val="0"/>
                      <w:color w:val="102401"/>
                      <w:spacing w:val="0"/>
                      <w:sz w:val="18"/>
                      <w:szCs w:val="18"/>
                    </w:rPr>
                  </w:pPr>
                </w:p>
              </w:tc>
              <w:tc>
                <w:tcPr>
                  <w:tcW w:w="10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rFonts w:hint="eastAsia" w:ascii="微软雅黑" w:hAnsi="微软雅黑" w:eastAsia="微软雅黑" w:cs="微软雅黑"/>
                      <w:i w:val="0"/>
                      <w:iCs w:val="0"/>
                      <w:caps w:val="0"/>
                      <w:color w:val="102401"/>
                      <w:spacing w:val="0"/>
                      <w:sz w:val="18"/>
                      <w:szCs w:val="18"/>
                    </w:rPr>
                  </w:pPr>
                  <w:r>
                    <w:rPr>
                      <w:rFonts w:hint="eastAsia" w:ascii="微软雅黑" w:hAnsi="微软雅黑" w:eastAsia="微软雅黑" w:cs="微软雅黑"/>
                      <w:i w:val="0"/>
                      <w:iCs w:val="0"/>
                      <w:caps w:val="0"/>
                      <w:color w:val="102401"/>
                      <w:spacing w:val="0"/>
                      <w:kern w:val="0"/>
                      <w:sz w:val="18"/>
                      <w:szCs w:val="18"/>
                      <w:bdr w:val="none" w:color="auto" w:sz="0" w:space="0"/>
                      <w:lang w:val="en-US" w:eastAsia="zh-CN" w:bidi="ar"/>
                    </w:rPr>
                    <w:t>914401167243089084</w:t>
                  </w:r>
                </w:p>
              </w:tc>
              <w:tc>
                <w:tcPr>
                  <w:tcW w:w="10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jc w:val="left"/>
                    <w:rPr>
                      <w:rFonts w:hint="eastAsia" w:ascii="微软雅黑" w:hAnsi="微软雅黑" w:eastAsia="微软雅黑" w:cs="微软雅黑"/>
                      <w:i w:val="0"/>
                      <w:iCs w:val="0"/>
                      <w:caps w:val="0"/>
                      <w:color w:val="102401"/>
                      <w:spacing w:val="0"/>
                      <w:sz w:val="18"/>
                      <w:szCs w:val="18"/>
                    </w:rPr>
                  </w:pPr>
                </w:p>
              </w:tc>
              <w:tc>
                <w:tcPr>
                  <w:tcW w:w="7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jc w:val="left"/>
                    <w:rPr>
                      <w:rFonts w:hint="eastAsia" w:ascii="微软雅黑" w:hAnsi="微软雅黑" w:eastAsia="微软雅黑" w:cs="微软雅黑"/>
                      <w:i w:val="0"/>
                      <w:iCs w:val="0"/>
                      <w:caps w:val="0"/>
                      <w:color w:val="102401"/>
                      <w:spacing w:val="0"/>
                      <w:sz w:val="18"/>
                      <w:szCs w:val="18"/>
                    </w:rPr>
                  </w:pPr>
                </w:p>
              </w:tc>
              <w:tc>
                <w:tcPr>
                  <w:tcW w:w="7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jc w:val="left"/>
                    <w:rPr>
                      <w:rFonts w:hint="eastAsia" w:ascii="微软雅黑" w:hAnsi="微软雅黑" w:eastAsia="微软雅黑" w:cs="微软雅黑"/>
                      <w:i w:val="0"/>
                      <w:iCs w:val="0"/>
                      <w:caps w:val="0"/>
                      <w:color w:val="102401"/>
                      <w:spacing w:val="0"/>
                      <w:sz w:val="18"/>
                      <w:szCs w:val="18"/>
                    </w:rPr>
                  </w:pPr>
                </w:p>
              </w:tc>
              <w:tc>
                <w:tcPr>
                  <w:tcW w:w="7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jc w:val="left"/>
                    <w:rPr>
                      <w:rFonts w:hint="eastAsia" w:ascii="微软雅黑" w:hAnsi="微软雅黑" w:eastAsia="微软雅黑" w:cs="微软雅黑"/>
                      <w:i w:val="0"/>
                      <w:iCs w:val="0"/>
                      <w:caps w:val="0"/>
                      <w:color w:val="102401"/>
                      <w:spacing w:val="0"/>
                      <w:sz w:val="18"/>
                      <w:szCs w:val="18"/>
                    </w:rPr>
                  </w:pPr>
                </w:p>
              </w:tc>
              <w:tc>
                <w:tcPr>
                  <w:tcW w:w="90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jc w:val="left"/>
                    <w:rPr>
                      <w:rFonts w:hint="eastAsia" w:ascii="微软雅黑" w:hAnsi="微软雅黑" w:eastAsia="微软雅黑" w:cs="微软雅黑"/>
                      <w:i w:val="0"/>
                      <w:iCs w:val="0"/>
                      <w:caps w:val="0"/>
                      <w:color w:val="102401"/>
                      <w:spacing w:val="0"/>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法人代表姓名:</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bdr w:val="none" w:color="auto" w:sz="0" w:space="0"/>
                      <w:lang w:val="en-US" w:eastAsia="zh-CN" w:bidi="ar"/>
                    </w:rPr>
                    <w:t>谷育钢</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法定代表人证件号码:</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微软雅黑" w:hAnsi="微软雅黑" w:eastAsia="微软雅黑" w:cs="微软雅黑"/>
                      <w:i w:val="0"/>
                      <w:iCs w:val="0"/>
                      <w:caps w:val="0"/>
                      <w:color w:val="102401"/>
                      <w:spacing w:val="0"/>
                      <w:kern w:val="0"/>
                      <w:sz w:val="18"/>
                      <w:szCs w:val="18"/>
                      <w:bdr w:val="none" w:color="auto" w:sz="0" w:space="0"/>
                      <w:lang w:val="en-US" w:eastAsia="zh-CN" w:bidi="ar"/>
                    </w:rPr>
                    <w:t>510102***********7</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证件类型:</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jc w:val="left"/>
                    <w:rPr>
                      <w:rFonts w:hint="eastAsia" w:ascii="微软雅黑" w:hAnsi="微软雅黑" w:eastAsia="微软雅黑" w:cs="微软雅黑"/>
                      <w:i w:val="0"/>
                      <w:iCs w:val="0"/>
                      <w:caps w:val="0"/>
                      <w:color w:val="102401"/>
                      <w:spacing w:val="0"/>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证件号码:</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jc w:val="left"/>
                    <w:rPr>
                      <w:rFonts w:hint="eastAsia" w:ascii="微软雅黑" w:hAnsi="微软雅黑" w:eastAsia="微软雅黑" w:cs="微软雅黑"/>
                      <w:i w:val="0"/>
                      <w:iCs w:val="0"/>
                      <w:caps w:val="0"/>
                      <w:color w:val="102401"/>
                      <w:spacing w:val="0"/>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违法行为类型:</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bdr w:val="none" w:color="auto" w:sz="0" w:space="0"/>
                      <w:lang w:val="en-US" w:eastAsia="zh-CN" w:bidi="ar"/>
                    </w:rPr>
                    <w:t>《广东省环境保护条例》：自动监控设施的管理运营单位应当保障自动监控设施的正常运行，保证自动监控数据的真实、可靠和有效，不得弄虚作假，隐瞒、伪造、篡改自动监控数据，并按规定保存原始监控记录。自动监控数据经生态环境主管部门审查确认真实有效的，作为环境保护监督管理的依据。 , 《广东省环境保护条例》第二十六条第二款</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罚款金额（万元）:</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bdr w:val="none" w:color="auto" w:sz="0" w:space="0"/>
                      <w:lang w:val="en-US" w:eastAsia="zh-CN" w:bidi="ar"/>
                    </w:rPr>
                    <w:t>10</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没收违法所得、没收非法财物的金额（万元）:</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jc w:val="left"/>
                    <w:rPr>
                      <w:rFonts w:hint="eastAsia" w:ascii="微软雅黑" w:hAnsi="微软雅黑" w:eastAsia="微软雅黑" w:cs="微软雅黑"/>
                      <w:i w:val="0"/>
                      <w:iCs w:val="0"/>
                      <w:caps w:val="0"/>
                      <w:color w:val="102401"/>
                      <w:spacing w:val="0"/>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暂扣或吊销证照名称及编号:</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jc w:val="left"/>
                    <w:rPr>
                      <w:rFonts w:hint="eastAsia" w:ascii="微软雅黑" w:hAnsi="微软雅黑" w:eastAsia="微软雅黑" w:cs="微软雅黑"/>
                      <w:i w:val="0"/>
                      <w:iCs w:val="0"/>
                      <w:caps w:val="0"/>
                      <w:color w:val="102401"/>
                      <w:spacing w:val="0"/>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处罚决定日期:</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bdr w:val="none" w:color="auto" w:sz="0" w:space="0"/>
                      <w:lang w:val="en-US" w:eastAsia="zh-CN" w:bidi="ar"/>
                    </w:rPr>
                    <w:t>2021/09/30</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处罚有效期:</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bdr w:val="none" w:color="auto" w:sz="0" w:space="0"/>
                      <w:lang w:val="en-US" w:eastAsia="zh-CN" w:bidi="ar"/>
                    </w:rPr>
                    <w:t>2099/12/31</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公示截止期:</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bdr w:val="none" w:color="auto" w:sz="0" w:space="0"/>
                      <w:lang w:val="en-US" w:eastAsia="zh-CN" w:bidi="ar"/>
                    </w:rPr>
                    <w:t>2099/12/31</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处罚机关:</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bdr w:val="none" w:color="auto" w:sz="0" w:space="0"/>
                      <w:lang w:val="en-US" w:eastAsia="zh-CN" w:bidi="ar"/>
                    </w:rPr>
                    <w:t>广州市生态环境局</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处罚机关统一社会信用代码:</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bdr w:val="none" w:color="auto" w:sz="0" w:space="0"/>
                      <w:lang w:val="en-US" w:eastAsia="zh-CN" w:bidi="ar"/>
                    </w:rPr>
                    <w:t>11440100MB2C93184J</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数据来源单位:</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bdr w:val="none" w:color="auto" w:sz="0" w:space="0"/>
                      <w:lang w:val="en-US" w:eastAsia="zh-CN" w:bidi="ar"/>
                    </w:rPr>
                    <w:t>广州市生态环境局</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数据来源单位统一社会信用代码:</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bdr w:val="none" w:color="auto" w:sz="0" w:space="0"/>
                      <w:lang w:val="en-US" w:eastAsia="zh-CN" w:bidi="ar"/>
                    </w:rPr>
                    <w:t>11440100MB2C93184J</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备注:</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bdr w:val="none" w:color="auto" w:sz="0" w:space="0"/>
                      <w:lang w:val="en-US" w:eastAsia="zh-CN" w:bidi="ar"/>
                    </w:rPr>
                    <w:t>/</w:t>
                  </w:r>
                </w:p>
              </w:tc>
            </w:tr>
          </w:tbl>
          <w:p>
            <w:pPr>
              <w:jc w:val="center"/>
              <w:rPr>
                <w:rFonts w:ascii="微软雅黑" w:hAnsi="微软雅黑" w:eastAsia="微软雅黑" w:cs="微软雅黑"/>
                <w:i w:val="0"/>
                <w:iCs w:val="0"/>
                <w:caps w:val="0"/>
                <w:color w:val="000000"/>
                <w:spacing w:val="0"/>
                <w:sz w:val="27"/>
                <w:szCs w:val="27"/>
              </w:rPr>
            </w:pPr>
          </w:p>
        </w:tc>
      </w:tr>
      <w:tr>
        <w:tblPrEx>
          <w:tblCellMar>
            <w:top w:w="0" w:type="dxa"/>
            <w:left w:w="0" w:type="dxa"/>
            <w:bottom w:w="0" w:type="dxa"/>
            <w:right w:w="0" w:type="dxa"/>
          </w:tblCellMar>
        </w:tblPrEx>
        <w:trPr>
          <w:tblCellSpacing w:w="0" w:type="dxa"/>
          <w:jc w:val="center"/>
        </w:trPr>
        <w:tc>
          <w:tcPr>
            <w:tcW w:w="0" w:type="auto"/>
            <w:shd w:val="clear" w:color="auto" w:fill="auto"/>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 </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 </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Style w:val="6"/>
                <w:rFonts w:hint="eastAsia" w:ascii="微软雅黑" w:hAnsi="微软雅黑" w:eastAsia="微软雅黑" w:cs="微软雅黑"/>
                <w:i w:val="0"/>
                <w:iCs w:val="0"/>
                <w:caps w:val="0"/>
                <w:color w:val="000000"/>
                <w:spacing w:val="0"/>
                <w:kern w:val="0"/>
                <w:sz w:val="32"/>
                <w:szCs w:val="32"/>
                <w:lang w:val="en-US" w:eastAsia="zh-CN" w:bidi="ar"/>
              </w:rPr>
              <w:t>全文信息</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 </w:t>
            </w:r>
          </w:p>
          <w:p>
            <w:pPr>
              <w:pStyle w:val="3"/>
              <w:keepNext w:val="0"/>
              <w:keepLines w:val="0"/>
              <w:widowControl/>
              <w:suppressLineNumbers w:val="0"/>
              <w:ind w:left="0" w:right="0"/>
              <w:jc w:val="right"/>
            </w:pPr>
            <w:r>
              <w:rPr>
                <w:rFonts w:hint="eastAsia" w:ascii="微软雅黑" w:hAnsi="微软雅黑" w:eastAsia="微软雅黑" w:cs="微软雅黑"/>
                <w:i w:val="0"/>
                <w:iCs w:val="0"/>
                <w:caps w:val="0"/>
                <w:color w:val="000000"/>
                <w:spacing w:val="0"/>
                <w:sz w:val="24"/>
                <w:szCs w:val="24"/>
              </w:rPr>
              <w:t> </w:t>
            </w:r>
            <w:r>
              <w:rPr>
                <w:rFonts w:hint="eastAsia" w:ascii="微软雅黑" w:hAnsi="微软雅黑" w:eastAsia="微软雅黑" w:cs="微软雅黑"/>
                <w:i w:val="0"/>
                <w:iCs w:val="0"/>
                <w:caps w:val="0"/>
                <w:color w:val="000000"/>
                <w:spacing w:val="0"/>
                <w:sz w:val="24"/>
                <w:szCs w:val="24"/>
              </w:rPr>
              <w:br w:type="textWrapping"/>
            </w:r>
            <w:r>
              <w:rPr>
                <w:rFonts w:hint="eastAsia" w:ascii="微软雅黑" w:hAnsi="微软雅黑" w:eastAsia="微软雅黑" w:cs="微软雅黑"/>
                <w:i w:val="0"/>
                <w:iCs w:val="0"/>
                <w:caps w:val="0"/>
                <w:color w:val="000000"/>
                <w:spacing w:val="0"/>
                <w:sz w:val="24"/>
                <w:szCs w:val="24"/>
              </w:rPr>
              <w:t> </w:t>
            </w:r>
          </w:p>
          <w:p>
            <w:pPr>
              <w:pStyle w:val="3"/>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p>
          <w:p>
            <w:pPr>
              <w:pStyle w:val="3"/>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p>
          <w:p>
            <w:pPr>
              <w:pStyle w:val="3"/>
              <w:keepNext w:val="0"/>
              <w:keepLines w:val="0"/>
              <w:widowControl/>
              <w:suppressLineNumbers w:val="0"/>
              <w:ind w:left="0" w:right="0"/>
              <w:jc w:val="right"/>
            </w:pPr>
            <w:r>
              <w:rPr>
                <w:rFonts w:hint="eastAsia" w:ascii="仿宋_GB2312" w:hAnsi="Times New Roman" w:eastAsia="仿宋_GB2312" w:cs="仿宋_GB2312"/>
                <w:i w:val="0"/>
                <w:iCs w:val="0"/>
                <w:caps w:val="0"/>
                <w:color w:val="000000"/>
                <w:spacing w:val="0"/>
                <w:sz w:val="32"/>
                <w:szCs w:val="32"/>
              </w:rPr>
              <w:t>穗环法罚〔2021〕</w:t>
            </w:r>
            <w:r>
              <w:rPr>
                <w:rFonts w:hint="eastAsia" w:ascii="仿宋_GB2312" w:hAnsi="Times New Roman" w:eastAsia="仿宋_GB2312" w:cs="仿宋_GB2312"/>
                <w:i w:val="0"/>
                <w:iCs w:val="0"/>
                <w:caps w:val="0"/>
                <w:color w:val="000000"/>
                <w:spacing w:val="0"/>
                <w:sz w:val="32"/>
                <w:szCs w:val="32"/>
                <w:lang w:val="en-US" w:eastAsia="zh-CN"/>
              </w:rPr>
              <w:t>6</w:t>
            </w:r>
            <w:r>
              <w:rPr>
                <w:rFonts w:hint="eastAsia" w:ascii="仿宋_GB2312" w:hAnsi="Times New Roman" w:eastAsia="仿宋_GB2312" w:cs="仿宋_GB2312"/>
                <w:i w:val="0"/>
                <w:iCs w:val="0"/>
                <w:caps w:val="0"/>
                <w:color w:val="000000"/>
                <w:spacing w:val="0"/>
                <w:sz w:val="32"/>
                <w:szCs w:val="32"/>
              </w:rPr>
              <w:t>号</w:t>
            </w:r>
            <w:r>
              <w:rPr>
                <w:rFonts w:hint="eastAsia" w:ascii="微软雅黑" w:hAnsi="微软雅黑" w:eastAsia="微软雅黑" w:cs="微软雅黑"/>
                <w:i w:val="0"/>
                <w:iCs w:val="0"/>
                <w:caps w:val="0"/>
                <w:color w:val="000000"/>
                <w:spacing w:val="0"/>
                <w:sz w:val="27"/>
                <w:szCs w:val="27"/>
              </w:rPr>
              <w:t> </w:t>
            </w:r>
          </w:p>
          <w:p>
            <w:pPr>
              <w:pStyle w:val="3"/>
              <w:keepNext w:val="0"/>
              <w:keepLines w:val="0"/>
              <w:widowControl/>
              <w:suppressLineNumbers w:val="0"/>
              <w:ind w:left="0" w:right="0"/>
              <w:jc w:val="center"/>
            </w:pPr>
            <w:r>
              <w:rPr>
                <w:rFonts w:ascii="方正小标宋简体" w:hAnsi="方正小标宋简体" w:eastAsia="方正小标宋简体" w:cs="方正小标宋简体"/>
                <w:i w:val="0"/>
                <w:iCs w:val="0"/>
                <w:caps w:val="0"/>
                <w:color w:val="000000"/>
                <w:spacing w:val="0"/>
                <w:sz w:val="44"/>
                <w:szCs w:val="44"/>
              </w:rPr>
              <w:t>行政处罚决定书</w:t>
            </w:r>
          </w:p>
          <w:p>
            <w:pPr>
              <w:pStyle w:val="3"/>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p>
          <w:p>
            <w:pPr>
              <w:pStyle w:val="3"/>
              <w:keepNext w:val="0"/>
              <w:keepLines w:val="0"/>
              <w:widowControl/>
              <w:suppressLineNumbers w:val="0"/>
              <w:ind w:left="0" w:right="0"/>
              <w:jc w:val="both"/>
            </w:pPr>
            <w:r>
              <w:rPr>
                <w:rFonts w:hint="default" w:ascii="仿宋_GB2312" w:hAnsi="Times New Roman" w:eastAsia="仿宋_GB2312" w:cs="仿宋_GB2312"/>
                <w:i w:val="0"/>
                <w:iCs w:val="0"/>
                <w:caps w:val="0"/>
                <w:color w:val="000000"/>
                <w:spacing w:val="0"/>
                <w:sz w:val="32"/>
                <w:szCs w:val="32"/>
              </w:rPr>
              <w:t>当事人：</w:t>
            </w:r>
            <w:r>
              <w:rPr>
                <w:rFonts w:hint="eastAsia" w:ascii="仿宋" w:hAnsi="仿宋" w:eastAsia="仿宋" w:cs="仿宋"/>
                <w:i w:val="0"/>
                <w:iCs w:val="0"/>
                <w:caps w:val="0"/>
                <w:color w:val="000000"/>
                <w:spacing w:val="0"/>
                <w:sz w:val="32"/>
                <w:szCs w:val="32"/>
              </w:rPr>
              <w:t>广州正虹环境科技有限公司</w:t>
            </w:r>
          </w:p>
          <w:p>
            <w:pPr>
              <w:pStyle w:val="3"/>
              <w:keepNext w:val="0"/>
              <w:keepLines w:val="0"/>
              <w:widowControl/>
              <w:suppressLineNumbers w:val="0"/>
              <w:ind w:left="0" w:right="0"/>
              <w:jc w:val="both"/>
            </w:pPr>
            <w:r>
              <w:rPr>
                <w:rFonts w:hint="default" w:ascii="仿宋_GB2312" w:hAnsi="Times New Roman" w:eastAsia="仿宋_GB2312" w:cs="仿宋_GB2312"/>
                <w:i w:val="0"/>
                <w:iCs w:val="0"/>
                <w:caps w:val="0"/>
                <w:color w:val="000000"/>
                <w:spacing w:val="0"/>
                <w:sz w:val="32"/>
                <w:szCs w:val="32"/>
              </w:rPr>
              <w:t>统一社会信用代码：</w:t>
            </w:r>
            <w:r>
              <w:rPr>
                <w:rFonts w:hint="default" w:ascii="Times New Roman" w:hAnsi="Times New Roman" w:eastAsia="微软雅黑" w:cs="Times New Roman"/>
                <w:i w:val="0"/>
                <w:iCs w:val="0"/>
                <w:caps w:val="0"/>
                <w:color w:val="000000"/>
                <w:spacing w:val="0"/>
                <w:sz w:val="32"/>
                <w:szCs w:val="32"/>
              </w:rPr>
              <w:t>914401167243089084</w:t>
            </w:r>
          </w:p>
          <w:p>
            <w:pPr>
              <w:pStyle w:val="3"/>
              <w:keepNext w:val="0"/>
              <w:keepLines w:val="0"/>
              <w:widowControl/>
              <w:suppressLineNumbers w:val="0"/>
              <w:ind w:left="0" w:right="0"/>
              <w:jc w:val="both"/>
            </w:pPr>
            <w:r>
              <w:rPr>
                <w:rFonts w:hint="default" w:ascii="仿宋_GB2312" w:hAnsi="Times New Roman" w:eastAsia="仿宋_GB2312" w:cs="仿宋_GB2312"/>
                <w:i w:val="0"/>
                <w:iCs w:val="0"/>
                <w:caps w:val="0"/>
                <w:color w:val="000000"/>
                <w:spacing w:val="0"/>
                <w:sz w:val="32"/>
                <w:szCs w:val="32"/>
              </w:rPr>
              <w:t>地</w:t>
            </w:r>
            <w:r>
              <w:rPr>
                <w:rFonts w:hint="default" w:ascii="Times New Roman" w:hAnsi="Times New Roman" w:eastAsia="微软雅黑" w:cs="Times New Roman"/>
                <w:i w:val="0"/>
                <w:iCs w:val="0"/>
                <w:caps w:val="0"/>
                <w:color w:val="000000"/>
                <w:spacing w:val="0"/>
                <w:sz w:val="21"/>
                <w:szCs w:val="21"/>
              </w:rPr>
              <w:t>  </w:t>
            </w:r>
            <w:r>
              <w:rPr>
                <w:rFonts w:hint="default" w:ascii="仿宋_GB2312" w:hAnsi="Times New Roman" w:eastAsia="仿宋_GB2312" w:cs="仿宋_GB2312"/>
                <w:i w:val="0"/>
                <w:iCs w:val="0"/>
                <w:caps w:val="0"/>
                <w:color w:val="000000"/>
                <w:spacing w:val="0"/>
                <w:sz w:val="32"/>
                <w:szCs w:val="32"/>
              </w:rPr>
              <w:t>址：广州市黄埔区科学大道182号C3栋1001房（仅限办公）</w:t>
            </w:r>
          </w:p>
          <w:p>
            <w:pPr>
              <w:pStyle w:val="3"/>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p>
          <w:p>
            <w:pPr>
              <w:spacing w:line="560" w:lineRule="exact"/>
              <w:ind w:firstLine="640" w:firstLineChars="200"/>
              <w:rPr>
                <w:rFonts w:hint="eastAsia" w:ascii="仿宋_GB2312" w:hAnsi="Times New Roman" w:eastAsia="仿宋_GB2312" w:cs="仿宋_GB2312"/>
                <w:i w:val="0"/>
                <w:iCs w:val="0"/>
                <w:caps w:val="0"/>
                <w:color w:val="000000"/>
                <w:spacing w:val="0"/>
                <w:kern w:val="0"/>
                <w:sz w:val="32"/>
                <w:szCs w:val="32"/>
                <w:lang w:val="en-US" w:eastAsia="zh-CN" w:bidi="ar"/>
              </w:rPr>
            </w:pPr>
            <w:r>
              <w:rPr>
                <w:rFonts w:hint="eastAsia" w:ascii="仿宋_GB2312" w:hAnsi="Times New Roman" w:eastAsia="仿宋_GB2312" w:cs="仿宋_GB2312"/>
                <w:i w:val="0"/>
                <w:iCs w:val="0"/>
                <w:caps w:val="0"/>
                <w:color w:val="000000"/>
                <w:spacing w:val="0"/>
                <w:kern w:val="0"/>
                <w:sz w:val="32"/>
                <w:szCs w:val="32"/>
                <w:lang w:val="en-US" w:eastAsia="zh-CN" w:bidi="ar"/>
              </w:rPr>
              <w:t>经我局执法人员调查发现，当事人于2019年3月为广州兴南华建材有限公司（以下简称“兴南华公司”）安装一套烟气自动监控系统，该系统已与重点污染源自动监控与基础数据库系统（国发平台）和广州市污染源自动监控平台联网，并由当事人运维至今。2021年7月1日我局现场检查上述烟气自动监控系统并调阅历史数据发现，兴南华公司烟气自动监控系统的基准氧含量参数未按照广东省《锅炉大气污染物排放标准》（DB44/765-2019）表6规定的燃生物质成型燃料锅炉基准氧含量设置为9%，以致其上传至国发平台和广州市污染源自动监控平台的部分污染物数据折算浓度低于实测浓度，未能真实反映兴南华公司排污状况。当事人作为自</w:t>
            </w:r>
            <w:bookmarkStart w:id="0" w:name="_GoBack"/>
            <w:bookmarkEnd w:id="0"/>
            <w:r>
              <w:rPr>
                <w:rFonts w:hint="eastAsia" w:ascii="仿宋_GB2312" w:hAnsi="Times New Roman" w:eastAsia="仿宋_GB2312" w:cs="仿宋_GB2312"/>
                <w:i w:val="0"/>
                <w:iCs w:val="0"/>
                <w:caps w:val="0"/>
                <w:color w:val="000000"/>
                <w:spacing w:val="0"/>
                <w:kern w:val="0"/>
                <w:sz w:val="32"/>
                <w:szCs w:val="32"/>
                <w:lang w:val="en-US" w:eastAsia="zh-CN" w:bidi="ar"/>
              </w:rPr>
              <w:t>动监控设施的管理运营单位，未正确设置基准氧含量参数导致兴南华公司的自动监控数据失真，未履行保障自动监控设施正常运行的法定义务，属于篡改自动监控数据的弄虚作假行为。</w:t>
            </w:r>
          </w:p>
          <w:p>
            <w:pPr>
              <w:spacing w:line="560" w:lineRule="exact"/>
              <w:ind w:firstLine="640" w:firstLineChars="200"/>
              <w:rPr>
                <w:rFonts w:hint="eastAsia" w:ascii="仿宋_GB2312" w:hAnsi="Times New Roman" w:eastAsia="仿宋_GB2312" w:cs="仿宋_GB2312"/>
                <w:i w:val="0"/>
                <w:iCs w:val="0"/>
                <w:caps w:val="0"/>
                <w:color w:val="000000"/>
                <w:spacing w:val="0"/>
                <w:kern w:val="0"/>
                <w:sz w:val="32"/>
                <w:szCs w:val="32"/>
                <w:lang w:val="en-US" w:eastAsia="zh-CN" w:bidi="ar"/>
              </w:rPr>
            </w:pPr>
            <w:r>
              <w:rPr>
                <w:rFonts w:hint="eastAsia" w:ascii="仿宋_GB2312" w:hAnsi="Times New Roman" w:eastAsia="仿宋_GB2312" w:cs="仿宋_GB2312"/>
                <w:i w:val="0"/>
                <w:iCs w:val="0"/>
                <w:caps w:val="0"/>
                <w:color w:val="000000"/>
                <w:spacing w:val="0"/>
                <w:kern w:val="0"/>
                <w:sz w:val="32"/>
                <w:szCs w:val="32"/>
                <w:lang w:val="en-US" w:eastAsia="zh-CN" w:bidi="ar"/>
              </w:rPr>
              <w:t>另查明，2021年7月7日我局再次现场检查时，当事人运维人员现场将当事人烟气自动监控系统的基准氧含量由“15%”改为“9%”。</w:t>
            </w:r>
          </w:p>
          <w:p>
            <w:pPr>
              <w:spacing w:line="560" w:lineRule="exact"/>
              <w:ind w:firstLine="640" w:firstLineChars="200"/>
              <w:rPr>
                <w:rFonts w:hint="eastAsia" w:ascii="仿宋_GB2312" w:hAnsi="Times New Roman" w:eastAsia="仿宋_GB2312" w:cs="仿宋_GB2312"/>
                <w:i w:val="0"/>
                <w:iCs w:val="0"/>
                <w:caps w:val="0"/>
                <w:color w:val="000000"/>
                <w:spacing w:val="0"/>
                <w:kern w:val="0"/>
                <w:sz w:val="32"/>
                <w:szCs w:val="32"/>
                <w:lang w:val="en-US" w:eastAsia="zh-CN" w:bidi="ar"/>
              </w:rPr>
            </w:pPr>
            <w:r>
              <w:rPr>
                <w:rFonts w:hint="eastAsia" w:ascii="仿宋_GB2312" w:hAnsi="Times New Roman" w:eastAsia="仿宋_GB2312" w:cs="仿宋_GB2312"/>
                <w:i w:val="0"/>
                <w:iCs w:val="0"/>
                <w:caps w:val="0"/>
                <w:color w:val="000000"/>
                <w:spacing w:val="0"/>
                <w:kern w:val="0"/>
                <w:sz w:val="32"/>
                <w:szCs w:val="32"/>
                <w:lang w:val="en-US" w:eastAsia="zh-CN" w:bidi="ar"/>
              </w:rPr>
              <w:t>以上事实，有现场检查笔录、调查询问笔录、国发平台数据、购销合同、烟气在线监测系统运营维护合同、环评批复和验收文件、现场检查照片等证据为证。</w:t>
            </w:r>
          </w:p>
          <w:p>
            <w:pPr>
              <w:pStyle w:val="2"/>
              <w:tabs>
                <w:tab w:val="left" w:pos="7982"/>
              </w:tabs>
              <w:spacing w:line="560" w:lineRule="exact"/>
              <w:ind w:right="368" w:firstLine="640" w:firstLineChars="200"/>
              <w:rPr>
                <w:rFonts w:hint="eastAsia" w:ascii="仿宋_GB2312" w:hAnsi="Times New Roman" w:eastAsia="仿宋_GB2312" w:cs="仿宋_GB2312"/>
                <w:i w:val="0"/>
                <w:iCs w:val="0"/>
                <w:caps w:val="0"/>
                <w:color w:val="000000"/>
                <w:spacing w:val="0"/>
                <w:kern w:val="0"/>
                <w:sz w:val="32"/>
                <w:szCs w:val="32"/>
                <w:lang w:val="en-US" w:eastAsia="zh-CN" w:bidi="ar"/>
              </w:rPr>
            </w:pPr>
            <w:r>
              <w:rPr>
                <w:rFonts w:hint="eastAsia" w:ascii="仿宋_GB2312" w:hAnsi="Times New Roman" w:eastAsia="仿宋_GB2312" w:cs="仿宋_GB2312"/>
                <w:i w:val="0"/>
                <w:iCs w:val="0"/>
                <w:caps w:val="0"/>
                <w:color w:val="000000"/>
                <w:spacing w:val="0"/>
                <w:kern w:val="0"/>
                <w:sz w:val="32"/>
                <w:szCs w:val="32"/>
                <w:lang w:val="en-US" w:eastAsia="zh-CN" w:bidi="ar"/>
              </w:rPr>
              <w:t>当事人未履行保障自动监控设施正常运行的法定义务，篡改自动监控数据的行为违反了《广东省环境保护条例》第二十六条第二款的规定。我局于2021年8月27日向当事人送达《行政处罚听证告知书》（穗环法告〔</w:t>
            </w:r>
            <w:r>
              <w:rPr>
                <w:rFonts w:hint="default" w:ascii="仿宋_GB2312" w:hAnsi="Times New Roman" w:eastAsia="仿宋_GB2312" w:cs="仿宋_GB2312"/>
                <w:i w:val="0"/>
                <w:iCs w:val="0"/>
                <w:caps w:val="0"/>
                <w:color w:val="000000"/>
                <w:spacing w:val="0"/>
                <w:kern w:val="0"/>
                <w:sz w:val="32"/>
                <w:szCs w:val="32"/>
                <w:lang w:val="en-US" w:eastAsia="zh-CN" w:bidi="ar"/>
              </w:rPr>
              <w:t>20</w:t>
            </w:r>
            <w:r>
              <w:rPr>
                <w:rFonts w:hint="eastAsia" w:ascii="仿宋_GB2312" w:hAnsi="Times New Roman" w:eastAsia="仿宋_GB2312" w:cs="仿宋_GB2312"/>
                <w:i w:val="0"/>
                <w:iCs w:val="0"/>
                <w:caps w:val="0"/>
                <w:color w:val="000000"/>
                <w:spacing w:val="0"/>
                <w:kern w:val="0"/>
                <w:sz w:val="32"/>
                <w:szCs w:val="32"/>
                <w:lang w:val="en-US" w:eastAsia="zh-CN" w:bidi="ar"/>
              </w:rPr>
              <w:t>21〕8号），告知当事人拟作出的处罚内容及事实、理由、依据，并告知了陈述、申辩和要求听证的权利。当事人在法定期限内未提出听证申请，但于2021年8月31日向我局提交了陈述申辩书，其主要意见如下：1、兴南华公司在线监控系统运维期间，生态环境部门每月进行现场监督考核以及多次不定期监督检查，均未对兴南华公司烟气在线监控系统的基准氧含量参数设置提出异议，第三方检测机构对兴南华公司烟气在线监控系统进行校准检测各项指标都全部通过，该司运维人员也未发现兴南华公司烟气自动监控系统基准氧含量参数设置有误；2、兴南华公司未经折算的实测浓度如实上传，实测浓度也未有超标，故该司没有修改参数的主观动机和必要；3、基准氧含量参数设置问题是在2019年1月安装阶段默认的出厂值，在后续运维期间该司对该参数从未有过设置或修改。</w:t>
            </w:r>
          </w:p>
          <w:p>
            <w:pPr>
              <w:spacing w:line="560" w:lineRule="exact"/>
              <w:ind w:firstLine="640" w:firstLineChars="200"/>
              <w:rPr>
                <w:rFonts w:hint="eastAsia" w:ascii="仿宋_GB2312" w:hAnsi="Times New Roman" w:eastAsia="仿宋_GB2312" w:cs="仿宋_GB2312"/>
                <w:i w:val="0"/>
                <w:iCs w:val="0"/>
                <w:caps w:val="0"/>
                <w:color w:val="000000"/>
                <w:spacing w:val="0"/>
                <w:kern w:val="0"/>
                <w:sz w:val="32"/>
                <w:szCs w:val="32"/>
                <w:lang w:val="en-US" w:eastAsia="zh-CN" w:bidi="ar"/>
              </w:rPr>
            </w:pPr>
            <w:r>
              <w:rPr>
                <w:rFonts w:hint="eastAsia" w:ascii="仿宋_GB2312" w:hAnsi="Times New Roman" w:eastAsia="仿宋_GB2312" w:cs="仿宋_GB2312"/>
                <w:i w:val="0"/>
                <w:iCs w:val="0"/>
                <w:caps w:val="0"/>
                <w:color w:val="000000"/>
                <w:spacing w:val="0"/>
                <w:kern w:val="0"/>
                <w:sz w:val="32"/>
                <w:szCs w:val="32"/>
                <w:lang w:val="en-US" w:eastAsia="zh-CN" w:bidi="ar"/>
              </w:rPr>
              <w:t>经审理，我局认为，当事人作为重点排污单位自动监控设施的管理运营单位，未正确设置基准氧含量参数导致兴南华公司上传的自动监控数据失真，未履行保障自动监控设施正常运行的法定义务，属于篡改自动监控数据的弄虚作假行为，应当予以处罚；但考虑到当事人已积极整改，以及疫情防控常态化期间保障“六稳”“六保”工作需要，决定部分采纳当事人的申辩意见，在告知罚款金额基础上予以从轻处罚。现本案经我局审查结束。</w:t>
            </w:r>
          </w:p>
          <w:p>
            <w:pPr>
              <w:spacing w:line="560" w:lineRule="exact"/>
              <w:ind w:firstLine="640" w:firstLineChars="200"/>
              <w:rPr>
                <w:rFonts w:hint="eastAsia" w:ascii="仿宋_GB2312" w:hAnsi="Times New Roman" w:eastAsia="仿宋_GB2312" w:cs="仿宋_GB2312"/>
                <w:i w:val="0"/>
                <w:iCs w:val="0"/>
                <w:caps w:val="0"/>
                <w:color w:val="000000"/>
                <w:spacing w:val="0"/>
                <w:kern w:val="0"/>
                <w:sz w:val="32"/>
                <w:szCs w:val="32"/>
                <w:lang w:val="en-US" w:eastAsia="zh-CN" w:bidi="ar"/>
              </w:rPr>
            </w:pPr>
            <w:r>
              <w:rPr>
                <w:rFonts w:hint="eastAsia" w:ascii="仿宋_GB2312" w:hAnsi="Times New Roman" w:eastAsia="仿宋_GB2312" w:cs="仿宋_GB2312"/>
                <w:i w:val="0"/>
                <w:iCs w:val="0"/>
                <w:caps w:val="0"/>
                <w:color w:val="000000"/>
                <w:spacing w:val="0"/>
                <w:kern w:val="0"/>
                <w:sz w:val="32"/>
                <w:szCs w:val="32"/>
                <w:lang w:val="en-US" w:eastAsia="zh-CN" w:bidi="ar"/>
              </w:rPr>
              <w:t>根据《广东省环境保护条例》第七十条及《广州市规范生态环境行政处罚自由裁量权规定》附件第9.7.1项的规定，我局现对当事人作出如下行政处罚：</w:t>
            </w:r>
          </w:p>
          <w:p>
            <w:pPr>
              <w:spacing w:line="560" w:lineRule="exact"/>
              <w:ind w:firstLine="640" w:firstLineChars="200"/>
              <w:rPr>
                <w:rFonts w:hint="eastAsia" w:ascii="仿宋_GB2312" w:hAnsi="Times New Roman" w:eastAsia="仿宋_GB2312" w:cs="仿宋_GB2312"/>
                <w:i w:val="0"/>
                <w:iCs w:val="0"/>
                <w:caps w:val="0"/>
                <w:color w:val="000000"/>
                <w:spacing w:val="0"/>
                <w:kern w:val="0"/>
                <w:sz w:val="32"/>
                <w:szCs w:val="32"/>
                <w:lang w:val="en-US" w:eastAsia="zh-CN" w:bidi="ar"/>
              </w:rPr>
            </w:pPr>
            <w:r>
              <w:rPr>
                <w:rFonts w:hint="eastAsia" w:ascii="仿宋_GB2312" w:hAnsi="Times New Roman" w:eastAsia="仿宋_GB2312" w:cs="仿宋_GB2312"/>
                <w:i w:val="0"/>
                <w:iCs w:val="0"/>
                <w:caps w:val="0"/>
                <w:color w:val="000000"/>
                <w:spacing w:val="0"/>
                <w:kern w:val="0"/>
                <w:sz w:val="32"/>
                <w:szCs w:val="32"/>
                <w:lang w:val="en-US" w:eastAsia="zh-CN" w:bidi="ar"/>
              </w:rPr>
              <w:t>罚款10万元。</w:t>
            </w:r>
          </w:p>
          <w:p>
            <w:pPr>
              <w:spacing w:line="560" w:lineRule="exact"/>
              <w:ind w:firstLine="640" w:firstLineChars="200"/>
              <w:rPr>
                <w:rFonts w:hint="eastAsia" w:ascii="仿宋_GB2312" w:hAnsi="Times New Roman" w:eastAsia="仿宋_GB2312" w:cs="仿宋_GB2312"/>
                <w:i w:val="0"/>
                <w:iCs w:val="0"/>
                <w:caps w:val="0"/>
                <w:color w:val="000000"/>
                <w:spacing w:val="0"/>
                <w:kern w:val="0"/>
                <w:sz w:val="32"/>
                <w:szCs w:val="32"/>
                <w:lang w:val="en-US" w:eastAsia="zh-CN" w:bidi="ar"/>
              </w:rPr>
            </w:pPr>
            <w:r>
              <w:rPr>
                <w:rFonts w:hint="eastAsia" w:ascii="仿宋_GB2312" w:hAnsi="Times New Roman" w:eastAsia="仿宋_GB2312" w:cs="仿宋_GB2312"/>
                <w:i w:val="0"/>
                <w:iCs w:val="0"/>
                <w:caps w:val="0"/>
                <w:color w:val="000000"/>
                <w:spacing w:val="0"/>
                <w:kern w:val="0"/>
                <w:sz w:val="32"/>
                <w:szCs w:val="32"/>
                <w:lang w:val="en-US" w:eastAsia="zh-CN" w:bidi="ar"/>
              </w:rPr>
              <w:t>限当事人在收到本处罚决定书之日起</w:t>
            </w:r>
            <w:r>
              <w:rPr>
                <w:rFonts w:hint="default" w:ascii="仿宋_GB2312" w:hAnsi="Times New Roman" w:eastAsia="仿宋_GB2312" w:cs="仿宋_GB2312"/>
                <w:i w:val="0"/>
                <w:iCs w:val="0"/>
                <w:caps w:val="0"/>
                <w:color w:val="000000"/>
                <w:spacing w:val="0"/>
                <w:kern w:val="0"/>
                <w:sz w:val="32"/>
                <w:szCs w:val="32"/>
                <w:lang w:val="en-US" w:eastAsia="zh-CN" w:bidi="ar"/>
              </w:rPr>
              <w:t>15日内，按照《广州市非税收入缴款通知书》的要求，将上述罚款缴到非税收入代收银行（工商银行、建设银行、广州银行、广州农村商业银行、中国银行、农业银行、邮政储蓄银行、交通银行、光大银行、中信银行、广发银行、浦发银行、华夏银行</w:t>
            </w:r>
            <w:r>
              <w:rPr>
                <w:rFonts w:hint="eastAsia" w:ascii="仿宋_GB2312" w:hAnsi="Times New Roman" w:eastAsia="仿宋_GB2312" w:cs="仿宋_GB2312"/>
                <w:i w:val="0"/>
                <w:iCs w:val="0"/>
                <w:caps w:val="0"/>
                <w:color w:val="000000"/>
                <w:spacing w:val="0"/>
                <w:kern w:val="0"/>
                <w:sz w:val="32"/>
                <w:szCs w:val="32"/>
                <w:lang w:val="en-US" w:eastAsia="zh-CN" w:bidi="ar"/>
              </w:rPr>
              <w:t>、招商银行、民生银行、兴业银行、平安银行、广东华兴银行、创兴银行、浙商银行、渤海银行、珠海华润银行、九江银行、东莞银行、江西银行、广东南粤银行、长沙银行</w:t>
            </w:r>
            <w:r>
              <w:rPr>
                <w:rFonts w:hint="default" w:ascii="仿宋_GB2312" w:hAnsi="Times New Roman" w:eastAsia="仿宋_GB2312" w:cs="仿宋_GB2312"/>
                <w:i w:val="0"/>
                <w:iCs w:val="0"/>
                <w:caps w:val="0"/>
                <w:color w:val="000000"/>
                <w:spacing w:val="0"/>
                <w:kern w:val="0"/>
                <w:sz w:val="32"/>
                <w:szCs w:val="32"/>
                <w:lang w:val="en-US" w:eastAsia="zh-CN" w:bidi="ar"/>
              </w:rPr>
              <w:t>），收入项目编码：3124。</w:t>
            </w:r>
            <w:r>
              <w:rPr>
                <w:rFonts w:hint="default" w:ascii="仿宋_GB2312" w:hAnsi="Times New Roman" w:eastAsia="仿宋_GB2312" w:cs="仿宋_GB2312"/>
                <w:i w:val="0"/>
                <w:iCs w:val="0"/>
                <w:caps w:val="0"/>
                <w:color w:val="000000"/>
                <w:spacing w:val="0"/>
                <w:kern w:val="0"/>
                <w:sz w:val="32"/>
                <w:szCs w:val="32"/>
                <w:lang w:val="en-US" w:eastAsia="zh-CN" w:bidi="ar"/>
              </w:rPr>
              <w:br w:type="textWrapping"/>
            </w:r>
            <w:r>
              <w:rPr>
                <w:rFonts w:hint="eastAsia" w:ascii="仿宋_GB2312" w:hAnsi="Times New Roman" w:eastAsia="仿宋_GB2312" w:cs="仿宋_GB2312"/>
                <w:i w:val="0"/>
                <w:iCs w:val="0"/>
                <w:caps w:val="0"/>
                <w:color w:val="000000"/>
                <w:spacing w:val="0"/>
                <w:kern w:val="0"/>
                <w:sz w:val="32"/>
                <w:szCs w:val="32"/>
                <w:lang w:val="en-US" w:eastAsia="zh-CN" w:bidi="ar"/>
              </w:rPr>
              <w:t xml:space="preserve">    如不服上述行政处罚决定，可在接到本决定之日起</w:t>
            </w:r>
            <w:r>
              <w:rPr>
                <w:rFonts w:hint="default" w:ascii="仿宋_GB2312" w:hAnsi="Times New Roman" w:eastAsia="仿宋_GB2312" w:cs="仿宋_GB2312"/>
                <w:i w:val="0"/>
                <w:iCs w:val="0"/>
                <w:caps w:val="0"/>
                <w:color w:val="000000"/>
                <w:spacing w:val="0"/>
                <w:kern w:val="0"/>
                <w:sz w:val="32"/>
                <w:szCs w:val="32"/>
                <w:lang w:val="en-US" w:eastAsia="zh-CN" w:bidi="ar"/>
              </w:rPr>
              <w:t>60</w:t>
            </w:r>
            <w:r>
              <w:rPr>
                <w:rFonts w:hint="eastAsia" w:ascii="仿宋_GB2312" w:hAnsi="Times New Roman" w:eastAsia="仿宋_GB2312" w:cs="仿宋_GB2312"/>
                <w:i w:val="0"/>
                <w:iCs w:val="0"/>
                <w:caps w:val="0"/>
                <w:color w:val="000000"/>
                <w:spacing w:val="0"/>
                <w:kern w:val="0"/>
                <w:sz w:val="32"/>
                <w:szCs w:val="32"/>
                <w:lang w:val="en-US" w:eastAsia="zh-CN" w:bidi="ar"/>
              </w:rPr>
              <w:t>日内，向广州市人民政府（地址：越秀区小北路</w:t>
            </w:r>
            <w:r>
              <w:rPr>
                <w:rFonts w:hint="default" w:ascii="仿宋_GB2312" w:hAnsi="Times New Roman" w:eastAsia="仿宋_GB2312" w:cs="仿宋_GB2312"/>
                <w:i w:val="0"/>
                <w:iCs w:val="0"/>
                <w:caps w:val="0"/>
                <w:color w:val="000000"/>
                <w:spacing w:val="0"/>
                <w:kern w:val="0"/>
                <w:sz w:val="32"/>
                <w:szCs w:val="32"/>
                <w:lang w:val="en-US" w:eastAsia="zh-CN" w:bidi="ar"/>
              </w:rPr>
              <w:t>183</w:t>
            </w:r>
            <w:r>
              <w:rPr>
                <w:rFonts w:hint="eastAsia" w:ascii="仿宋_GB2312" w:hAnsi="Times New Roman" w:eastAsia="仿宋_GB2312" w:cs="仿宋_GB2312"/>
                <w:i w:val="0"/>
                <w:iCs w:val="0"/>
                <w:caps w:val="0"/>
                <w:color w:val="000000"/>
                <w:spacing w:val="0"/>
                <w:kern w:val="0"/>
                <w:sz w:val="32"/>
                <w:szCs w:val="32"/>
                <w:lang w:val="en-US" w:eastAsia="zh-CN" w:bidi="ar"/>
              </w:rPr>
              <w:t>号金和大厦</w:t>
            </w:r>
            <w:r>
              <w:rPr>
                <w:rFonts w:hint="default" w:ascii="仿宋_GB2312" w:hAnsi="Times New Roman" w:eastAsia="仿宋_GB2312" w:cs="仿宋_GB2312"/>
                <w:i w:val="0"/>
                <w:iCs w:val="0"/>
                <w:caps w:val="0"/>
                <w:color w:val="000000"/>
                <w:spacing w:val="0"/>
                <w:kern w:val="0"/>
                <w:sz w:val="32"/>
                <w:szCs w:val="32"/>
                <w:lang w:val="en-US" w:eastAsia="zh-CN" w:bidi="ar"/>
              </w:rPr>
              <w:t>2</w:t>
            </w:r>
            <w:r>
              <w:rPr>
                <w:rFonts w:hint="eastAsia" w:ascii="仿宋_GB2312" w:hAnsi="Times New Roman" w:eastAsia="仿宋_GB2312" w:cs="仿宋_GB2312"/>
                <w:i w:val="0"/>
                <w:iCs w:val="0"/>
                <w:caps w:val="0"/>
                <w:color w:val="000000"/>
                <w:spacing w:val="0"/>
                <w:kern w:val="0"/>
                <w:sz w:val="32"/>
                <w:szCs w:val="32"/>
                <w:lang w:val="en-US" w:eastAsia="zh-CN" w:bidi="ar"/>
              </w:rPr>
              <w:t>楼，电话：</w:t>
            </w:r>
            <w:r>
              <w:rPr>
                <w:rFonts w:hint="default" w:ascii="仿宋_GB2312" w:hAnsi="Times New Roman" w:eastAsia="仿宋_GB2312" w:cs="仿宋_GB2312"/>
                <w:i w:val="0"/>
                <w:iCs w:val="0"/>
                <w:caps w:val="0"/>
                <w:color w:val="000000"/>
                <w:spacing w:val="0"/>
                <w:kern w:val="0"/>
                <w:sz w:val="32"/>
                <w:szCs w:val="32"/>
                <w:lang w:val="en-US" w:eastAsia="zh-CN" w:bidi="ar"/>
              </w:rPr>
              <w:t>83555988</w:t>
            </w:r>
            <w:r>
              <w:rPr>
                <w:rFonts w:hint="eastAsia" w:ascii="仿宋_GB2312" w:hAnsi="Times New Roman" w:eastAsia="仿宋_GB2312" w:cs="仿宋_GB2312"/>
                <w:i w:val="0"/>
                <w:iCs w:val="0"/>
                <w:caps w:val="0"/>
                <w:color w:val="000000"/>
                <w:spacing w:val="0"/>
                <w:kern w:val="0"/>
                <w:sz w:val="32"/>
                <w:szCs w:val="32"/>
                <w:lang w:val="en-US" w:eastAsia="zh-CN" w:bidi="ar"/>
              </w:rPr>
              <w:t>）或广东省生态环境厅（地址：天河区龙口西路</w:t>
            </w:r>
            <w:r>
              <w:rPr>
                <w:rFonts w:hint="default" w:ascii="仿宋_GB2312" w:hAnsi="Times New Roman" w:eastAsia="仿宋_GB2312" w:cs="仿宋_GB2312"/>
                <w:i w:val="0"/>
                <w:iCs w:val="0"/>
                <w:caps w:val="0"/>
                <w:color w:val="000000"/>
                <w:spacing w:val="0"/>
                <w:kern w:val="0"/>
                <w:sz w:val="32"/>
                <w:szCs w:val="32"/>
                <w:lang w:val="en-US" w:eastAsia="zh-CN" w:bidi="ar"/>
              </w:rPr>
              <w:t>213</w:t>
            </w:r>
            <w:r>
              <w:rPr>
                <w:rFonts w:hint="eastAsia" w:ascii="仿宋_GB2312" w:hAnsi="Times New Roman" w:eastAsia="仿宋_GB2312" w:cs="仿宋_GB2312"/>
                <w:i w:val="0"/>
                <w:iCs w:val="0"/>
                <w:caps w:val="0"/>
                <w:color w:val="000000"/>
                <w:spacing w:val="0"/>
                <w:kern w:val="0"/>
                <w:sz w:val="32"/>
                <w:szCs w:val="32"/>
                <w:lang w:val="en-US" w:eastAsia="zh-CN" w:bidi="ar"/>
              </w:rPr>
              <w:t>号，电话：</w:t>
            </w:r>
            <w:r>
              <w:rPr>
                <w:rFonts w:hint="default" w:ascii="仿宋_GB2312" w:hAnsi="Times New Roman" w:eastAsia="仿宋_GB2312" w:cs="仿宋_GB2312"/>
                <w:i w:val="0"/>
                <w:iCs w:val="0"/>
                <w:caps w:val="0"/>
                <w:color w:val="000000"/>
                <w:spacing w:val="0"/>
                <w:kern w:val="0"/>
                <w:sz w:val="32"/>
                <w:szCs w:val="32"/>
                <w:lang w:val="en-US" w:eastAsia="zh-CN" w:bidi="ar"/>
              </w:rPr>
              <w:t>87533928</w:t>
            </w:r>
            <w:r>
              <w:rPr>
                <w:rFonts w:hint="eastAsia" w:ascii="仿宋_GB2312" w:hAnsi="Times New Roman" w:eastAsia="仿宋_GB2312" w:cs="仿宋_GB2312"/>
                <w:i w:val="0"/>
                <w:iCs w:val="0"/>
                <w:caps w:val="0"/>
                <w:color w:val="000000"/>
                <w:spacing w:val="0"/>
                <w:kern w:val="0"/>
                <w:sz w:val="32"/>
                <w:szCs w:val="32"/>
                <w:lang w:val="en-US" w:eastAsia="zh-CN" w:bidi="ar"/>
              </w:rPr>
              <w:t>、</w:t>
            </w:r>
            <w:r>
              <w:rPr>
                <w:rFonts w:hint="default" w:ascii="仿宋_GB2312" w:hAnsi="Times New Roman" w:eastAsia="仿宋_GB2312" w:cs="仿宋_GB2312"/>
                <w:i w:val="0"/>
                <w:iCs w:val="0"/>
                <w:caps w:val="0"/>
                <w:color w:val="000000"/>
                <w:spacing w:val="0"/>
                <w:kern w:val="0"/>
                <w:sz w:val="32"/>
                <w:szCs w:val="32"/>
                <w:lang w:val="en-US" w:eastAsia="zh-CN" w:bidi="ar"/>
              </w:rPr>
              <w:t>87531656</w:t>
            </w:r>
            <w:r>
              <w:rPr>
                <w:rFonts w:hint="eastAsia" w:ascii="仿宋_GB2312" w:hAnsi="Times New Roman" w:eastAsia="仿宋_GB2312" w:cs="仿宋_GB2312"/>
                <w:i w:val="0"/>
                <w:iCs w:val="0"/>
                <w:caps w:val="0"/>
                <w:color w:val="000000"/>
                <w:spacing w:val="0"/>
                <w:kern w:val="0"/>
                <w:sz w:val="32"/>
                <w:szCs w:val="32"/>
                <w:lang w:val="en-US" w:eastAsia="zh-CN" w:bidi="ar"/>
              </w:rPr>
              <w:t>）提出行政复议申请（我市正在进行行政复议体制改革，市政府各部门被复议案件统一由市人民政府办理，建议向市人民政府提出行政复议申请），或在</w:t>
            </w:r>
            <w:r>
              <w:rPr>
                <w:rFonts w:hint="default" w:ascii="仿宋_GB2312" w:hAnsi="Times New Roman" w:eastAsia="仿宋_GB2312" w:cs="仿宋_GB2312"/>
                <w:i w:val="0"/>
                <w:iCs w:val="0"/>
                <w:caps w:val="0"/>
                <w:color w:val="000000"/>
                <w:spacing w:val="0"/>
                <w:kern w:val="0"/>
                <w:sz w:val="32"/>
                <w:szCs w:val="32"/>
                <w:lang w:val="en-US" w:eastAsia="zh-CN" w:bidi="ar"/>
              </w:rPr>
              <w:t>6</w:t>
            </w:r>
            <w:r>
              <w:rPr>
                <w:rFonts w:hint="eastAsia" w:ascii="仿宋_GB2312" w:hAnsi="Times New Roman" w:eastAsia="仿宋_GB2312" w:cs="仿宋_GB2312"/>
                <w:i w:val="0"/>
                <w:iCs w:val="0"/>
                <w:caps w:val="0"/>
                <w:color w:val="000000"/>
                <w:spacing w:val="0"/>
                <w:kern w:val="0"/>
                <w:sz w:val="32"/>
                <w:szCs w:val="32"/>
                <w:lang w:val="en-US" w:eastAsia="zh-CN" w:bidi="ar"/>
              </w:rPr>
              <w:t>个月内直接向有管辖权的人民法院提起行政诉讼。</w:t>
            </w:r>
            <w:r>
              <w:rPr>
                <w:rFonts w:hint="default" w:ascii="仿宋_GB2312" w:hAnsi="Times New Roman" w:eastAsia="仿宋_GB2312" w:cs="仿宋_GB2312"/>
                <w:i w:val="0"/>
                <w:iCs w:val="0"/>
                <w:caps w:val="0"/>
                <w:color w:val="000000"/>
                <w:spacing w:val="0"/>
                <w:kern w:val="0"/>
                <w:sz w:val="32"/>
                <w:szCs w:val="32"/>
                <w:lang w:val="en-US" w:eastAsia="zh-CN" w:bidi="ar"/>
              </w:rPr>
              <w:t>行政复议、行政诉讼期间内，不得停止本决定的履行。</w:t>
            </w:r>
            <w:r>
              <w:rPr>
                <w:rFonts w:hint="eastAsia" w:ascii="仿宋_GB2312" w:hAnsi="Times New Roman" w:eastAsia="仿宋_GB2312" w:cs="仿宋_GB2312"/>
                <w:i w:val="0"/>
                <w:iCs w:val="0"/>
                <w:caps w:val="0"/>
                <w:color w:val="000000"/>
                <w:spacing w:val="0"/>
                <w:kern w:val="0"/>
                <w:sz w:val="32"/>
                <w:szCs w:val="32"/>
                <w:lang w:val="en-US" w:eastAsia="zh-CN" w:bidi="ar"/>
              </w:rPr>
              <w:t>根据《广东省人民政府关于县级以上人民政府统一行使行政复议职责有关事项的通告》（粤府函〔</w:t>
            </w:r>
            <w:r>
              <w:rPr>
                <w:rFonts w:hint="default" w:ascii="仿宋_GB2312" w:hAnsi="Times New Roman" w:eastAsia="仿宋_GB2312" w:cs="仿宋_GB2312"/>
                <w:i w:val="0"/>
                <w:iCs w:val="0"/>
                <w:caps w:val="0"/>
                <w:color w:val="000000"/>
                <w:spacing w:val="0"/>
                <w:kern w:val="0"/>
                <w:sz w:val="32"/>
                <w:szCs w:val="32"/>
                <w:lang w:val="en-US" w:eastAsia="zh-CN" w:bidi="ar"/>
              </w:rPr>
              <w:t>2021</w:t>
            </w:r>
            <w:r>
              <w:rPr>
                <w:rFonts w:hint="eastAsia" w:ascii="仿宋_GB2312" w:hAnsi="Times New Roman" w:eastAsia="仿宋_GB2312" w:cs="仿宋_GB2312"/>
                <w:i w:val="0"/>
                <w:iCs w:val="0"/>
                <w:caps w:val="0"/>
                <w:color w:val="000000"/>
                <w:spacing w:val="0"/>
                <w:kern w:val="0"/>
                <w:sz w:val="32"/>
                <w:szCs w:val="32"/>
                <w:lang w:val="en-US" w:eastAsia="zh-CN" w:bidi="ar"/>
              </w:rPr>
              <w:t>〕</w:t>
            </w:r>
            <w:r>
              <w:rPr>
                <w:rFonts w:hint="default" w:ascii="仿宋_GB2312" w:hAnsi="Times New Roman" w:eastAsia="仿宋_GB2312" w:cs="仿宋_GB2312"/>
                <w:i w:val="0"/>
                <w:iCs w:val="0"/>
                <w:caps w:val="0"/>
                <w:color w:val="000000"/>
                <w:spacing w:val="0"/>
                <w:kern w:val="0"/>
                <w:sz w:val="32"/>
                <w:szCs w:val="32"/>
                <w:lang w:val="en-US" w:eastAsia="zh-CN" w:bidi="ar"/>
              </w:rPr>
              <w:t>99</w:t>
            </w:r>
            <w:r>
              <w:rPr>
                <w:rFonts w:hint="eastAsia" w:ascii="仿宋_GB2312" w:hAnsi="Times New Roman" w:eastAsia="仿宋_GB2312" w:cs="仿宋_GB2312"/>
                <w:i w:val="0"/>
                <w:iCs w:val="0"/>
                <w:caps w:val="0"/>
                <w:color w:val="000000"/>
                <w:spacing w:val="0"/>
                <w:kern w:val="0"/>
                <w:sz w:val="32"/>
                <w:szCs w:val="32"/>
                <w:lang w:val="en-US" w:eastAsia="zh-CN" w:bidi="ar"/>
              </w:rPr>
              <w:t>号）的规定，自</w:t>
            </w:r>
            <w:r>
              <w:rPr>
                <w:rFonts w:hint="default" w:ascii="仿宋_GB2312" w:hAnsi="Times New Roman" w:eastAsia="仿宋_GB2312" w:cs="仿宋_GB2312"/>
                <w:i w:val="0"/>
                <w:iCs w:val="0"/>
                <w:caps w:val="0"/>
                <w:color w:val="000000"/>
                <w:spacing w:val="0"/>
                <w:kern w:val="0"/>
                <w:sz w:val="32"/>
                <w:szCs w:val="32"/>
                <w:lang w:val="en-US" w:eastAsia="zh-CN" w:bidi="ar"/>
              </w:rPr>
              <w:t>2021</w:t>
            </w:r>
            <w:r>
              <w:rPr>
                <w:rFonts w:hint="eastAsia" w:ascii="仿宋_GB2312" w:hAnsi="Times New Roman" w:eastAsia="仿宋_GB2312" w:cs="仿宋_GB2312"/>
                <w:i w:val="0"/>
                <w:iCs w:val="0"/>
                <w:caps w:val="0"/>
                <w:color w:val="000000"/>
                <w:spacing w:val="0"/>
                <w:kern w:val="0"/>
                <w:sz w:val="32"/>
                <w:szCs w:val="32"/>
                <w:lang w:val="en-US" w:eastAsia="zh-CN" w:bidi="ar"/>
              </w:rPr>
              <w:t>年</w:t>
            </w:r>
            <w:r>
              <w:rPr>
                <w:rFonts w:hint="default" w:ascii="仿宋_GB2312" w:hAnsi="Times New Roman" w:eastAsia="仿宋_GB2312" w:cs="仿宋_GB2312"/>
                <w:i w:val="0"/>
                <w:iCs w:val="0"/>
                <w:caps w:val="0"/>
                <w:color w:val="000000"/>
                <w:spacing w:val="0"/>
                <w:kern w:val="0"/>
                <w:sz w:val="32"/>
                <w:szCs w:val="32"/>
                <w:lang w:val="en-US" w:eastAsia="zh-CN" w:bidi="ar"/>
              </w:rPr>
              <w:t>6</w:t>
            </w:r>
            <w:r>
              <w:rPr>
                <w:rFonts w:hint="eastAsia" w:ascii="仿宋_GB2312" w:hAnsi="Times New Roman" w:eastAsia="仿宋_GB2312" w:cs="仿宋_GB2312"/>
                <w:i w:val="0"/>
                <w:iCs w:val="0"/>
                <w:caps w:val="0"/>
                <w:color w:val="000000"/>
                <w:spacing w:val="0"/>
                <w:kern w:val="0"/>
                <w:sz w:val="32"/>
                <w:szCs w:val="32"/>
                <w:lang w:val="en-US" w:eastAsia="zh-CN" w:bidi="ar"/>
              </w:rPr>
              <w:t>月</w:t>
            </w:r>
            <w:r>
              <w:rPr>
                <w:rFonts w:hint="default" w:ascii="仿宋_GB2312" w:hAnsi="Times New Roman" w:eastAsia="仿宋_GB2312" w:cs="仿宋_GB2312"/>
                <w:i w:val="0"/>
                <w:iCs w:val="0"/>
                <w:caps w:val="0"/>
                <w:color w:val="000000"/>
                <w:spacing w:val="0"/>
                <w:kern w:val="0"/>
                <w:sz w:val="32"/>
                <w:szCs w:val="32"/>
                <w:lang w:val="en-US" w:eastAsia="zh-CN" w:bidi="ar"/>
              </w:rPr>
              <w:t>1</w:t>
            </w:r>
            <w:r>
              <w:rPr>
                <w:rFonts w:hint="eastAsia" w:ascii="仿宋_GB2312" w:hAnsi="Times New Roman" w:eastAsia="仿宋_GB2312" w:cs="仿宋_GB2312"/>
                <w:i w:val="0"/>
                <w:iCs w:val="0"/>
                <w:caps w:val="0"/>
                <w:color w:val="000000"/>
                <w:spacing w:val="0"/>
                <w:kern w:val="0"/>
                <w:sz w:val="32"/>
                <w:szCs w:val="32"/>
                <w:lang w:val="en-US" w:eastAsia="zh-CN" w:bidi="ar"/>
              </w:rPr>
              <w:t>日起县级以上人民政府统一行使行政复议职责，建议您向广州市人民政府提出行政复议申请。申请行政复议或提起行政诉讼的，不停止本决定的执行。</w:t>
            </w:r>
          </w:p>
          <w:p>
            <w:pPr>
              <w:spacing w:line="560" w:lineRule="exact"/>
              <w:ind w:firstLine="640" w:firstLineChars="200"/>
              <w:rPr>
                <w:rFonts w:hint="eastAsia" w:ascii="仿宋_GB2312" w:hAnsi="Times New Roman" w:eastAsia="仿宋_GB2312" w:cs="仿宋_GB2312"/>
                <w:i w:val="0"/>
                <w:iCs w:val="0"/>
                <w:caps w:val="0"/>
                <w:color w:val="000000"/>
                <w:spacing w:val="0"/>
                <w:kern w:val="0"/>
                <w:sz w:val="32"/>
                <w:szCs w:val="32"/>
                <w:lang w:val="en-US" w:eastAsia="zh-CN" w:bidi="ar"/>
              </w:rPr>
            </w:pPr>
            <w:r>
              <w:rPr>
                <w:rFonts w:hint="eastAsia" w:ascii="仿宋_GB2312" w:hAnsi="Times New Roman" w:eastAsia="仿宋_GB2312" w:cs="仿宋_GB2312"/>
                <w:i w:val="0"/>
                <w:iCs w:val="0"/>
                <w:caps w:val="0"/>
                <w:color w:val="000000"/>
                <w:spacing w:val="0"/>
                <w:kern w:val="0"/>
                <w:sz w:val="32"/>
                <w:szCs w:val="32"/>
                <w:lang w:val="en-US" w:eastAsia="zh-CN" w:bidi="ar"/>
              </w:rPr>
              <w:t>根据《中华人民共和国行政处罚法》第七十二条规定，当事人逾期不履行本处罚决定的，我局将每日按罚款额的百分之三加处罚款，并依照《中华人民共和国行政强制法》的规定申请人民法院强制执行。</w:t>
            </w:r>
          </w:p>
          <w:p>
            <w:pPr>
              <w:pStyle w:val="3"/>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p>
          <w:p>
            <w:pPr>
              <w:pStyle w:val="3"/>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p>
          <w:p>
            <w:pPr>
              <w:pStyle w:val="3"/>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p>
          <w:p>
            <w:pPr>
              <w:pStyle w:val="3"/>
              <w:keepNext w:val="0"/>
              <w:keepLines w:val="0"/>
              <w:widowControl/>
              <w:suppressLineNumbers w:val="0"/>
              <w:ind w:left="0" w:right="0"/>
              <w:jc w:val="right"/>
            </w:pPr>
            <w:r>
              <w:rPr>
                <w:rFonts w:hint="default" w:ascii="Times New Roman" w:hAnsi="Times New Roman" w:eastAsia="微软雅黑" w:cs="Times New Roman"/>
                <w:i w:val="0"/>
                <w:iCs w:val="0"/>
                <w:caps w:val="0"/>
                <w:color w:val="000000"/>
                <w:spacing w:val="0"/>
                <w:sz w:val="21"/>
                <w:szCs w:val="21"/>
              </w:rPr>
              <w:t>   </w:t>
            </w:r>
            <w:r>
              <w:rPr>
                <w:rFonts w:hint="default" w:ascii="仿宋_GB2312" w:hAnsi="Times New Roman" w:eastAsia="仿宋_GB2312" w:cs="仿宋_GB2312"/>
                <w:i w:val="0"/>
                <w:iCs w:val="0"/>
                <w:caps w:val="0"/>
                <w:color w:val="000000"/>
                <w:spacing w:val="0"/>
                <w:sz w:val="32"/>
                <w:szCs w:val="32"/>
              </w:rPr>
              <w:t>广州市生态环境局</w:t>
            </w:r>
          </w:p>
          <w:p>
            <w:pPr>
              <w:pStyle w:val="3"/>
              <w:keepNext w:val="0"/>
              <w:keepLines w:val="0"/>
              <w:widowControl/>
              <w:suppressLineNumbers w:val="0"/>
              <w:ind w:left="0" w:right="0"/>
              <w:jc w:val="right"/>
            </w:pPr>
            <w:r>
              <w:rPr>
                <w:rFonts w:hint="default" w:ascii="Times New Roman" w:hAnsi="Times New Roman" w:eastAsia="微软雅黑" w:cs="Times New Roman"/>
                <w:i w:val="0"/>
                <w:iCs w:val="0"/>
                <w:caps w:val="0"/>
                <w:color w:val="000000"/>
                <w:spacing w:val="0"/>
                <w:sz w:val="32"/>
                <w:szCs w:val="32"/>
              </w:rPr>
              <w:t>2021</w:t>
            </w:r>
            <w:r>
              <w:rPr>
                <w:rFonts w:hint="default" w:ascii="仿宋_GB2312" w:hAnsi="Times New Roman" w:eastAsia="仿宋_GB2312" w:cs="仿宋_GB2312"/>
                <w:i w:val="0"/>
                <w:iCs w:val="0"/>
                <w:caps w:val="0"/>
                <w:color w:val="000000"/>
                <w:spacing w:val="0"/>
                <w:sz w:val="32"/>
                <w:szCs w:val="32"/>
              </w:rPr>
              <w:t>年</w:t>
            </w:r>
            <w:r>
              <w:rPr>
                <w:rFonts w:hint="eastAsia" w:ascii="Times New Roman" w:hAnsi="Times New Roman" w:eastAsia="微软雅黑" w:cs="Times New Roman"/>
                <w:i w:val="0"/>
                <w:iCs w:val="0"/>
                <w:caps w:val="0"/>
                <w:color w:val="000000"/>
                <w:spacing w:val="0"/>
                <w:sz w:val="32"/>
                <w:szCs w:val="32"/>
                <w:lang w:val="en-US" w:eastAsia="zh-CN"/>
              </w:rPr>
              <w:t>9</w:t>
            </w:r>
            <w:r>
              <w:rPr>
                <w:rFonts w:hint="default" w:ascii="仿宋_GB2312" w:hAnsi="Times New Roman" w:eastAsia="仿宋_GB2312" w:cs="仿宋_GB2312"/>
                <w:i w:val="0"/>
                <w:iCs w:val="0"/>
                <w:caps w:val="0"/>
                <w:color w:val="000000"/>
                <w:spacing w:val="0"/>
                <w:sz w:val="32"/>
                <w:szCs w:val="32"/>
              </w:rPr>
              <w:t>月</w:t>
            </w:r>
            <w:r>
              <w:rPr>
                <w:rFonts w:hint="eastAsia" w:ascii="Times New Roman" w:hAnsi="Times New Roman" w:eastAsia="微软雅黑" w:cs="Times New Roman"/>
                <w:i w:val="0"/>
                <w:iCs w:val="0"/>
                <w:caps w:val="0"/>
                <w:color w:val="000000"/>
                <w:spacing w:val="0"/>
                <w:sz w:val="32"/>
                <w:szCs w:val="32"/>
                <w:lang w:val="en-US" w:eastAsia="zh-CN"/>
              </w:rPr>
              <w:t>30</w:t>
            </w:r>
            <w:r>
              <w:rPr>
                <w:rFonts w:hint="default" w:ascii="仿宋_GB2312" w:hAnsi="Times New Roman" w:eastAsia="仿宋_GB2312" w:cs="仿宋_GB2312"/>
                <w:i w:val="0"/>
                <w:iCs w:val="0"/>
                <w:caps w:val="0"/>
                <w:color w:val="000000"/>
                <w:spacing w:val="0"/>
                <w:sz w:val="32"/>
                <w:szCs w:val="32"/>
              </w:rPr>
              <w:t>日</w:t>
            </w:r>
          </w:p>
          <w:p>
            <w:pPr>
              <w:pStyle w:val="3"/>
              <w:keepNext w:val="0"/>
              <w:keepLines w:val="0"/>
              <w:widowControl/>
              <w:suppressLineNumbers w:val="0"/>
              <w:ind w:left="0" w:right="0"/>
              <w:jc w:val="right"/>
            </w:pPr>
            <w:r>
              <w:rPr>
                <w:rFonts w:hint="eastAsia" w:ascii="微软雅黑" w:hAnsi="微软雅黑" w:eastAsia="微软雅黑" w:cs="微软雅黑"/>
                <w:i w:val="0"/>
                <w:iCs w:val="0"/>
                <w:caps w:val="0"/>
                <w:color w:val="000000"/>
                <w:spacing w:val="0"/>
                <w:sz w:val="27"/>
                <w:szCs w:val="27"/>
              </w:rPr>
              <w:t> </w:t>
            </w:r>
          </w:p>
          <w:p>
            <w:pPr>
              <w:pStyle w:val="3"/>
              <w:keepNext w:val="0"/>
              <w:keepLines w:val="0"/>
              <w:widowControl/>
              <w:suppressLineNumbers w:val="0"/>
              <w:ind w:left="0" w:right="0"/>
              <w:jc w:val="left"/>
            </w:pPr>
            <w:r>
              <w:rPr>
                <w:rFonts w:hint="default" w:ascii="仿宋_GB2312" w:hAnsi="Times New Roman" w:eastAsia="仿宋_GB2312" w:cs="仿宋_GB2312"/>
                <w:i w:val="0"/>
                <w:iCs w:val="0"/>
                <w:caps w:val="0"/>
                <w:color w:val="000000"/>
                <w:spacing w:val="0"/>
                <w:sz w:val="32"/>
                <w:szCs w:val="32"/>
              </w:rPr>
              <w:t>抄送：局监测处、应急处，市生态环境局增城分局。</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F36F61"/>
    <w:rsid w:val="069426AD"/>
    <w:rsid w:val="10F36F61"/>
    <w:rsid w:val="25FA4432"/>
    <w:rsid w:val="437C7B4A"/>
    <w:rsid w:val="450917AA"/>
    <w:rsid w:val="60E17495"/>
    <w:rsid w:val="66F21D0B"/>
    <w:rsid w:val="73E1530F"/>
    <w:rsid w:val="77A147E9"/>
    <w:rsid w:val="7B3F4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spacing w:after="12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customStyle="1" w:styleId="7">
    <w:name w:val="col-title1"/>
    <w:basedOn w:val="5"/>
    <w:uiPriority w:val="0"/>
    <w:rPr>
      <w:rFonts w:hint="eastAsia" w:ascii="宋体" w:hAnsi="宋体" w:eastAsia="宋体" w:cs="宋体"/>
      <w:b/>
      <w:bCs/>
      <w:color w:val="000000"/>
    </w:rPr>
  </w:style>
  <w:style w:type="character" w:customStyle="1" w:styleId="8">
    <w:name w:val="col-content1"/>
    <w:basedOn w:val="5"/>
    <w:uiPriority w:val="0"/>
    <w:rPr>
      <w:rFonts w:hint="eastAsia" w:ascii="宋体" w:hAnsi="宋体" w:eastAsia="宋体" w:cs="宋体"/>
      <w:color w:val="00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2020-07-27T06:18:00Z</dcterms:created>
  <dc:creator>陈璐</dc:creator>
  <cp:lastModifiedBy>O</cp:lastModifiedBy>
  <dcterms:modified xsi:type="dcterms:W3CDTF">2021-10-22T08:18:27Z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FA96096F925A4095AD60638FA98C549E</vt:lpwstr>
  </property>
</Properties>
</file>