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55</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穗环法罚〔2017〕55号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中国石油化工股份有限公司广州分公司行政处罚案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12月20日调查发现，2016年12月17日，当事人在正常生产的情况下，经广州市环境监测中心站进行边界臭气浓度采样监测，监测结果显示其炼油区西门边界点臭气浓度最大值为22（无量纲），超过了《恶臭污染物排放标准》（GB14554-93）规定的排放标准（臭气浓度≤20（无量纲））。</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依据《中华人民共和国大气污染防治法》第九十九条第（二）项和《广州市环境保护局关于&lt;中华人民共和国大气污染防治法&gt;的环境行政处罚自由裁量权裁量标准（试行）》第3-5项的规定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依据《中华人民共和国大气污染防治法》第九十九条第（二）项和《广州市环境保护局关于&lt;中华人民共和国大气污染防治法&gt;的环境行政处罚自由裁量权裁量标准（试行）》第3-5项的规定，责令当事人立即改正超标排放大气污染物的违法行为，并作出处罚款50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中国石油化工股份有限公司广州分公司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91440101721928327M</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陈坚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2017/5/4</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2017/5/4</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穗环法罚〔2017〕55号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中国石油化工股份有限公司广州分公司</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w:t>
      </w:r>
      <w:r>
        <w:rPr>
          <w:rFonts w:hint="eastAsia" w:ascii="仿宋_GB2312" w:hAnsi="Times New Roman" w:eastAsia="仿宋_GB2312" w:cs="仿宋_GB2312"/>
          <w:sz w:val="32"/>
          <w:szCs w:val="32"/>
        </w:rPr>
        <w:t>代码：</w:t>
      </w:r>
      <w:r>
        <w:rPr>
          <w:rFonts w:hint="eastAsia" w:ascii="仿宋_GB2312" w:hAnsi="宋体" w:eastAsia="仿宋_GB2312" w:cs="仿宋_GB2312"/>
          <w:sz w:val="32"/>
          <w:szCs w:val="32"/>
        </w:rPr>
        <w:t>91440101721928327M</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广州市黄埔区石化路239号</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w:t>
      </w:r>
      <w:r>
        <w:rPr>
          <w:rFonts w:hint="eastAsia" w:ascii="仿宋_GB2312" w:hAnsi="宋体" w:eastAsia="仿宋_GB2312" w:cs="仿宋_GB2312"/>
          <w:sz w:val="32"/>
          <w:szCs w:val="32"/>
        </w:rPr>
        <w:t>我局执法监察支队2016年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20</w:t>
      </w:r>
      <w:r>
        <w:rPr>
          <w:rFonts w:hint="eastAsia" w:ascii="仿宋_GB2312" w:hAnsi="宋体" w:eastAsia="仿宋_GB2312" w:cs="仿宋_GB2312"/>
          <w:sz w:val="32"/>
          <w:szCs w:val="32"/>
        </w:rPr>
        <w:t>日调查发现</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2016年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17</w:t>
      </w:r>
      <w:r>
        <w:rPr>
          <w:rFonts w:hint="eastAsia" w:ascii="仿宋_GB2312" w:hAnsi="宋体" w:eastAsia="仿宋_GB2312" w:cs="仿宋_GB2312"/>
          <w:sz w:val="32"/>
          <w:szCs w:val="32"/>
        </w:rPr>
        <w:t>日，当事人在正常生产的情况下，经广州市环境监测中心站进行边界臭气浓度采样监测，监测结果显示其炼油区西门边界点臭气浓度最大值为</w:t>
      </w:r>
      <w:r>
        <w:rPr>
          <w:rFonts w:hint="default" w:ascii="Times New Roman" w:hAnsi="Times New Roman" w:eastAsia="仿宋_GB2312" w:cs="Times New Roman"/>
          <w:sz w:val="32"/>
          <w:szCs w:val="32"/>
        </w:rPr>
        <w:t>22</w:t>
      </w:r>
      <w:r>
        <w:rPr>
          <w:rFonts w:hint="eastAsia" w:ascii="仿宋_GB2312" w:hAnsi="宋体" w:eastAsia="仿宋_GB2312" w:cs="仿宋_GB2312"/>
          <w:sz w:val="32"/>
          <w:szCs w:val="32"/>
        </w:rPr>
        <w:t>（无量纲），超过了《恶臭污染物排放标准》（</w:t>
      </w:r>
      <w:r>
        <w:rPr>
          <w:rFonts w:hint="default" w:ascii="Times New Roman" w:hAnsi="Times New Roman" w:eastAsia="仿宋_GB2312" w:cs="Times New Roman"/>
          <w:sz w:val="32"/>
          <w:szCs w:val="32"/>
        </w:rPr>
        <w:t>GB14554-93</w:t>
      </w:r>
      <w:r>
        <w:rPr>
          <w:rFonts w:hint="eastAsia" w:ascii="仿宋_GB2312" w:hAnsi="宋体" w:eastAsia="仿宋_GB2312" w:cs="仿宋_GB2312"/>
          <w:sz w:val="32"/>
          <w:szCs w:val="32"/>
        </w:rPr>
        <w:t>）规定的排放标准（臭气浓度≤</w:t>
      </w:r>
      <w:r>
        <w:rPr>
          <w:rFonts w:hint="default" w:ascii="Times New Roman" w:hAnsi="Times New Roman" w:eastAsia="仿宋_GB2312" w:cs="Times New Roman"/>
          <w:sz w:val="32"/>
          <w:szCs w:val="32"/>
        </w:rPr>
        <w:t>20</w:t>
      </w:r>
      <w:r>
        <w:rPr>
          <w:rFonts w:hint="eastAsia" w:ascii="仿宋_GB2312" w:hAnsi="宋体" w:eastAsia="仿宋_GB2312" w:cs="仿宋_GB2312"/>
          <w:sz w:val="32"/>
          <w:szCs w:val="32"/>
        </w:rPr>
        <w:t>（无量纲））。</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》、《询问笔录》</w:t>
      </w:r>
      <w:r>
        <w:rPr>
          <w:rFonts w:hint="eastAsia" w:ascii="仿宋_GB2312" w:hAnsi="宋体" w:eastAsia="仿宋_GB2312" w:cs="仿宋_GB2312"/>
          <w:sz w:val="32"/>
          <w:szCs w:val="32"/>
        </w:rPr>
        <w:t>、《监测报告》</w:t>
      </w:r>
      <w:r>
        <w:rPr>
          <w:rFonts w:hint="eastAsia" w:ascii="仿宋_GB2312" w:hAnsi="Times New Roman" w:eastAsia="仿宋_GB2312" w:cs="仿宋_GB2312"/>
          <w:sz w:val="32"/>
          <w:szCs w:val="32"/>
        </w:rPr>
        <w:t>等证据为证。</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上述行为违反了《中华人民共和国</w:t>
      </w:r>
      <w:r>
        <w:rPr>
          <w:rFonts w:hint="eastAsia" w:ascii="仿宋_GB2312" w:hAnsi="宋体" w:eastAsia="仿宋_GB2312" w:cs="仿宋_GB2312"/>
          <w:sz w:val="32"/>
          <w:szCs w:val="32"/>
        </w:rPr>
        <w:t>大气</w:t>
      </w:r>
      <w:r>
        <w:rPr>
          <w:rFonts w:hint="eastAsia" w:ascii="仿宋_GB2312" w:hAnsi="Times New Roman" w:eastAsia="仿宋_GB2312" w:cs="仿宋_GB2312"/>
          <w:sz w:val="32"/>
          <w:szCs w:val="32"/>
        </w:rPr>
        <w:t>污染防治法》第</w:t>
      </w:r>
      <w:r>
        <w:rPr>
          <w:rFonts w:hint="eastAsia" w:ascii="仿宋_GB2312" w:hAnsi="宋体" w:eastAsia="仿宋_GB2312" w:cs="仿宋_GB2312"/>
          <w:sz w:val="32"/>
          <w:szCs w:val="32"/>
        </w:rPr>
        <w:t>十八</w:t>
      </w:r>
      <w:r>
        <w:rPr>
          <w:rFonts w:hint="eastAsia" w:ascii="仿宋_GB2312" w:hAnsi="Times New Roman" w:eastAsia="仿宋_GB2312" w:cs="仿宋_GB2312"/>
          <w:sz w:val="32"/>
          <w:szCs w:val="32"/>
        </w:rPr>
        <w:t>条的规定。</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3</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14</w:t>
      </w:r>
      <w:r>
        <w:rPr>
          <w:rFonts w:hint="eastAsia" w:ascii="仿宋_GB2312" w:hAnsi="Times New Roman" w:eastAsia="仿宋_GB2312" w:cs="仿宋_GB2312"/>
          <w:sz w:val="32"/>
          <w:szCs w:val="32"/>
        </w:rPr>
        <w:t>日，我局</w:t>
      </w:r>
      <w:r>
        <w:rPr>
          <w:rFonts w:hint="eastAsia" w:ascii="仿宋_GB2312" w:hAnsi="宋体" w:eastAsia="仿宋_GB2312" w:cs="仿宋_GB2312"/>
          <w:sz w:val="32"/>
          <w:szCs w:val="32"/>
        </w:rPr>
        <w:t>作出</w:t>
      </w:r>
      <w:r>
        <w:rPr>
          <w:rFonts w:hint="eastAsia" w:ascii="仿宋_GB2312" w:hAnsi="Times New Roman" w:eastAsia="仿宋_GB2312" w:cs="仿宋_GB2312"/>
          <w:sz w:val="32"/>
          <w:szCs w:val="32"/>
        </w:rPr>
        <w:t>《行政处罚</w:t>
      </w:r>
      <w:r>
        <w:rPr>
          <w:rFonts w:hint="eastAsia" w:ascii="仿宋_GB2312" w:hAnsi="宋体" w:eastAsia="仿宋_GB2312" w:cs="仿宋_GB2312"/>
          <w:sz w:val="32"/>
          <w:szCs w:val="32"/>
        </w:rPr>
        <w:t>听证</w:t>
      </w:r>
      <w:r>
        <w:rPr>
          <w:rFonts w:hint="eastAsia" w:ascii="仿宋_GB2312" w:hAnsi="Times New Roman" w:eastAsia="仿宋_GB2312" w:cs="仿宋_GB2312"/>
          <w:sz w:val="32"/>
          <w:szCs w:val="32"/>
        </w:rPr>
        <w:t>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40</w:t>
      </w:r>
      <w:r>
        <w:rPr>
          <w:rFonts w:hint="eastAsia" w:ascii="仿宋_GB2312" w:hAnsi="Times New Roman" w:eastAsia="仿宋_GB2312" w:cs="仿宋_GB2312"/>
          <w:sz w:val="32"/>
          <w:szCs w:val="32"/>
        </w:rPr>
        <w:t>号），并于</w:t>
      </w:r>
      <w:r>
        <w:rPr>
          <w:rFonts w:hint="eastAsia" w:ascii="仿宋_GB2312" w:hAnsi="宋体" w:eastAsia="仿宋_GB2312" w:cs="仿宋_GB2312"/>
          <w:sz w:val="32"/>
          <w:szCs w:val="32"/>
        </w:rPr>
        <w:t>3</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17</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19</w:t>
      </w:r>
      <w:r>
        <w:rPr>
          <w:rFonts w:hint="eastAsia" w:ascii="仿宋_GB2312" w:hAnsi="宋体" w:eastAsia="仿宋_GB2312" w:cs="仿宋_GB2312"/>
          <w:sz w:val="32"/>
          <w:szCs w:val="32"/>
        </w:rPr>
        <w:t>日，当事人向我局提出陈述申辩意见，但未提出听证申请；其主要陈述申辩意见如下：</w:t>
      </w:r>
      <w:r>
        <w:rPr>
          <w:rFonts w:hint="default" w:ascii="Times New Roman" w:hAnsi="Times New Roman" w:eastAsia="仿宋_GB2312" w:cs="Times New Roman"/>
          <w:sz w:val="32"/>
          <w:szCs w:val="32"/>
        </w:rPr>
        <w:t>1</w:t>
      </w:r>
      <w:r>
        <w:rPr>
          <w:rFonts w:hint="eastAsia" w:ascii="仿宋_GB2312" w:hAnsi="宋体" w:eastAsia="仿宋_GB2312" w:cs="仿宋_GB2312"/>
          <w:sz w:val="32"/>
          <w:szCs w:val="32"/>
        </w:rPr>
        <w:t>、该公司炼油区西门边界就是石化路，路上行驶的车辆繁忙，特别是</w:t>
      </w:r>
      <w:r>
        <w:rPr>
          <w:rFonts w:hint="default" w:ascii="Times New Roman" w:hAnsi="Times New Roman" w:eastAsia="仿宋_GB2312" w:cs="Times New Roman"/>
          <w:sz w:val="32"/>
          <w:szCs w:val="32"/>
        </w:rPr>
        <w:t>2013</w:t>
      </w:r>
      <w:r>
        <w:rPr>
          <w:rFonts w:hint="eastAsia" w:ascii="仿宋_GB2312" w:hAnsi="宋体" w:eastAsia="仿宋_GB2312" w:cs="仿宋_GB2312"/>
          <w:sz w:val="32"/>
          <w:szCs w:val="32"/>
        </w:rPr>
        <w:t>年扩建以来，往来车辆废气及施工扬尘对该公司影响较大；</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、炼油区西门石化路以西多家仓储物流公司常散发鱼腥味、饲料味等各种异味，飘散在西门及办公楼附近；</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、此次采样时，该公司陪同人员亦闻到饲料味，并在其后调查询问时向执法人员反映，认为此次超标系周边散发异味的仓储物流公司导致；恳请免于处罚。经我局另行补充调查，距离当事人西边界外直线距离</w:t>
      </w:r>
      <w:r>
        <w:rPr>
          <w:rFonts w:hint="default" w:ascii="Times New Roman" w:hAnsi="Times New Roman" w:eastAsia="仿宋_GB2312" w:cs="Times New Roman"/>
          <w:sz w:val="32"/>
          <w:szCs w:val="32"/>
        </w:rPr>
        <w:t>600</w:t>
      </w:r>
      <w:r>
        <w:rPr>
          <w:rFonts w:hint="eastAsia" w:ascii="仿宋_GB2312" w:hAnsi="宋体" w:eastAsia="仿宋_GB2312" w:cs="仿宋_GB2312"/>
          <w:sz w:val="32"/>
          <w:szCs w:val="32"/>
        </w:rPr>
        <w:t>余米处确有广州市黄埔侨海物资有限公司（下称侨海物资公司）堆放了鱼粉等物品的仓库，并对其边界无组织排放的臭气进行了监测（结果显示未超标），综合考虑边界距离、大气污染物扩散等因素，我局认为侨海物资公司无组织排放的臭气应不会对当事人边界臭气浓度造成叠加影响。</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《中华人民共和国大气污染防治法》第九十九条第（二）项和《广州市环境保护局关于&lt;中华人民共和国大气污染防治法</w:t>
      </w:r>
      <w:r>
        <w:rPr>
          <w:rFonts w:hint="default" w:ascii="Times New Roman" w:hAnsi="Times New Roman" w:eastAsia="仿宋_GB2312" w:cs="Times New Roman"/>
          <w:sz w:val="32"/>
          <w:szCs w:val="32"/>
        </w:rPr>
        <w:t>&gt;</w:t>
      </w:r>
      <w:r>
        <w:rPr>
          <w:rFonts w:hint="eastAsia" w:ascii="仿宋_GB2312" w:hAnsi="宋体" w:eastAsia="仿宋_GB2312" w:cs="仿宋_GB2312"/>
          <w:sz w:val="32"/>
          <w:szCs w:val="32"/>
        </w:rPr>
        <w:t>的环境行政处罚自由裁量权裁量标准（试行）》第</w:t>
      </w:r>
      <w:r>
        <w:rPr>
          <w:rFonts w:hint="default" w:ascii="Times New Roman" w:hAnsi="Times New Roman" w:eastAsia="仿宋_GB2312" w:cs="Times New Roman"/>
          <w:sz w:val="32"/>
          <w:szCs w:val="32"/>
        </w:rPr>
        <w:t>3-5</w:t>
      </w:r>
      <w:r>
        <w:rPr>
          <w:rFonts w:hint="eastAsia" w:ascii="仿宋_GB2312" w:hAnsi="宋体" w:eastAsia="仿宋_GB2312" w:cs="仿宋_GB2312"/>
          <w:sz w:val="32"/>
          <w:szCs w:val="32"/>
        </w:rPr>
        <w:t>项的</w:t>
      </w:r>
      <w:r>
        <w:rPr>
          <w:rFonts w:hint="eastAsia" w:ascii="仿宋_GB2312" w:hAnsi="Times New Roman" w:eastAsia="仿宋_GB2312" w:cs="仿宋_GB2312"/>
          <w:sz w:val="32"/>
          <w:szCs w:val="32"/>
        </w:rPr>
        <w:t>规定，责令当事人立即改正</w:t>
      </w:r>
      <w:r>
        <w:rPr>
          <w:rFonts w:hint="eastAsia" w:ascii="仿宋_GB2312" w:hAnsi="宋体" w:eastAsia="仿宋_GB2312" w:cs="仿宋_GB2312"/>
          <w:sz w:val="32"/>
          <w:szCs w:val="32"/>
        </w:rPr>
        <w:t>超标排放大气污染物的</w:t>
      </w:r>
      <w:r>
        <w:rPr>
          <w:rFonts w:hint="eastAsia" w:ascii="仿宋_GB2312" w:hAnsi="Times New Roman" w:eastAsia="仿宋_GB2312" w:cs="仿宋_GB2312"/>
          <w:sz w:val="32"/>
          <w:szCs w:val="32"/>
        </w:rPr>
        <w:t>违法行为，并作出处罚决定如下：</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50万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w:t>
      </w: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6个月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w:t>
      </w:r>
      <w:r>
        <w:rPr>
          <w:rFonts w:hint="eastAsia" w:ascii="仿宋_GB2312" w:hAnsi="Times New Roman" w:eastAsia="仿宋_GB2312" w:cs="仿宋_GB2312"/>
          <w:sz w:val="32"/>
          <w:szCs w:val="32"/>
        </w:rPr>
        <w:t>逾期不履行本处罚决定，我局将申请人民法院强制执行，并每日按罚款额的百分之三加处罚款。</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right="133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pacing w:before="0" w:beforeAutospacing="0" w:after="0" w:afterAutospacing="0" w:line="560" w:lineRule="atLeast"/>
        <w:ind w:right="1330"/>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60" w:lineRule="atLeast"/>
        <w:ind w:left="0" w:right="0"/>
        <w:jc w:val="left"/>
      </w:pPr>
      <w:r>
        <w:rPr>
          <w:rFonts w:hint="default" w:ascii="Times New Roman" w:hAnsi="Times New Roman" w:cs="Times New Roman"/>
          <w:sz w:val="32"/>
          <w:szCs w:val="32"/>
        </w:rPr>
        <w:t xml:space="preserve">    </w:t>
      </w:r>
    </w:p>
    <w:p>
      <w:pPr>
        <w:pStyle w:val="2"/>
        <w:keepNext w:val="0"/>
        <w:keepLines w:val="0"/>
        <w:widowControl/>
        <w:suppressLineNumbers w:val="0"/>
        <w:spacing w:before="0" w:beforeAutospacing="0" w:after="0" w:afterAutospacing="0" w:line="560" w:lineRule="atLeast"/>
        <w:ind w:left="0" w:right="0"/>
        <w:jc w:val="left"/>
      </w:pPr>
      <w:r>
        <w:rPr>
          <w:rFonts w:hint="eastAsia" w:ascii="仿宋_GB2312" w:hAnsi="Times New Roman" w:eastAsia="仿宋_GB2312" w:cs="仿宋_GB2312"/>
          <w:sz w:val="32"/>
          <w:szCs w:val="32"/>
        </w:rPr>
        <w:t>抄送：局</w:t>
      </w:r>
      <w:r>
        <w:rPr>
          <w:rFonts w:hint="eastAsia" w:ascii="仿宋_GB2312" w:eastAsia="仿宋_GB2312" w:cs="仿宋_GB2312"/>
          <w:sz w:val="32"/>
          <w:szCs w:val="32"/>
        </w:rPr>
        <w:t>机控</w:t>
      </w:r>
      <w:r>
        <w:rPr>
          <w:rFonts w:hint="eastAsia" w:ascii="仿宋_GB2312" w:hAnsi="Times New Roman" w:eastAsia="仿宋_GB2312" w:cs="仿宋_GB2312"/>
          <w:sz w:val="32"/>
          <w:szCs w:val="32"/>
        </w:rPr>
        <w:t>处、执法监察支队，</w:t>
      </w:r>
      <w:r>
        <w:rPr>
          <w:rFonts w:hint="eastAsia" w:ascii="仿宋_GB2312" w:eastAsia="仿宋_GB2312" w:cs="仿宋_GB2312"/>
          <w:sz w:val="32"/>
          <w:szCs w:val="32"/>
        </w:rPr>
        <w:t>黄埔</w:t>
      </w:r>
      <w:r>
        <w:rPr>
          <w:rFonts w:hint="eastAsia" w:ascii="仿宋_GB2312" w:hAnsi="Times New Roman" w:eastAsia="仿宋_GB2312" w:cs="仿宋_GB2312"/>
          <w:sz w:val="32"/>
          <w:szCs w:val="32"/>
        </w:rPr>
        <w:t>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94CC3"/>
    <w:rsid w:val="268D0943"/>
    <w:rsid w:val="5B744FC8"/>
    <w:rsid w:val="5D89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2019-01-30T09:07:00Z</dcterms:created>
  <dc:creator>黄文宇</dc:creator>
  <cp:lastModifiedBy>黄文宇</cp:lastModifiedBy>
  <dcterms:modified xsi:type="dcterms:W3CDTF">2019-01-30T09:08:15Z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