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45</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穗环法罚〔2017〕45号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广州市建设投资发展有限公司行政处罚案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14日、23日调查发现，当事人建设的猎德大桥系统北延线金穗路至广园东段工程建设项目于2008年4月开工建设，于2009年10月16日补办环评审批手续（穗环管影〔2009〕174号），并于2014年8月正式投入使用。该项目全路段采用改性沥青混凝土路面，对靠近黄埔大道跨线桥玉兰阁、南雅苑、天晖阁住宅楼面向道路一侧室外声环境超标的居民住宅楼安装通风隔声窗；但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广州市建设投资发展有限公司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91440101231250090T</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赵晓川</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穗环法罚〔2017〕45号</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Times New Roman" w:eastAsia="仿宋_GB2312" w:cs="仿宋_GB2312"/>
          <w:sz w:val="32"/>
          <w:szCs w:val="32"/>
        </w:rPr>
        <w:t xml:space="preserve">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当事人：</w:t>
      </w:r>
      <w:r>
        <w:rPr>
          <w:rFonts w:hint="eastAsia" w:ascii="仿宋_GB2312" w:hAnsi="宋体" w:eastAsia="仿宋_GB2312" w:cs="仿宋_GB2312"/>
          <w:sz w:val="32"/>
          <w:szCs w:val="32"/>
        </w:rPr>
        <w:t>广州市建设投资发展有限公司</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91440101231250090T</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广州市越秀区沿江中路298号江湾新城大酒店商业中心</w:t>
      </w:r>
      <w:r>
        <w:rPr>
          <w:rFonts w:hint="default" w:ascii="Times New Roman" w:hAnsi="Times New Roman" w:eastAsia="仿宋_GB2312" w:cs="Times New Roman"/>
          <w:sz w:val="32"/>
          <w:szCs w:val="32"/>
        </w:rPr>
        <w:t>19</w:t>
      </w:r>
      <w:r>
        <w:rPr>
          <w:rFonts w:hint="eastAsia" w:ascii="仿宋_GB2312" w:hAnsi="宋体" w:eastAsia="仿宋_GB2312" w:cs="仿宋_GB2312"/>
          <w:sz w:val="32"/>
          <w:szCs w:val="32"/>
        </w:rPr>
        <w:t>楼</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14</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23</w:t>
      </w:r>
      <w:r>
        <w:rPr>
          <w:rFonts w:hint="eastAsia" w:ascii="仿宋_GB2312" w:hAnsi="宋体" w:eastAsia="仿宋_GB2312" w:cs="仿宋_GB2312"/>
          <w:sz w:val="32"/>
          <w:szCs w:val="32"/>
        </w:rPr>
        <w:t>日调查发现，当事人建设的猎德大桥系统北延线金穗路至广园东段工程建设项目于</w:t>
      </w:r>
      <w:r>
        <w:rPr>
          <w:rFonts w:hint="default" w:ascii="Times New Roman" w:hAnsi="Times New Roman" w:eastAsia="仿宋_GB2312" w:cs="Times New Roman"/>
          <w:sz w:val="32"/>
          <w:szCs w:val="32"/>
        </w:rPr>
        <w:t>2008</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月开工建设，于</w:t>
      </w:r>
      <w:r>
        <w:rPr>
          <w:rFonts w:hint="default" w:ascii="Times New Roman" w:hAnsi="Times New Roman" w:eastAsia="仿宋_GB2312" w:cs="Times New Roman"/>
          <w:sz w:val="32"/>
          <w:szCs w:val="32"/>
        </w:rPr>
        <w:t>2009</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16</w:t>
      </w:r>
      <w:r>
        <w:rPr>
          <w:rFonts w:hint="eastAsia" w:ascii="仿宋_GB2312" w:hAnsi="宋体" w:eastAsia="仿宋_GB2312" w:cs="仿宋_GB2312"/>
          <w:sz w:val="32"/>
          <w:szCs w:val="32"/>
        </w:rPr>
        <w:t>日补办环评审批手续（穗环管影〔</w:t>
      </w:r>
      <w:r>
        <w:rPr>
          <w:rFonts w:hint="default" w:ascii="Times New Roman" w:hAnsi="Times New Roman" w:eastAsia="仿宋_GB2312" w:cs="Times New Roman"/>
          <w:sz w:val="32"/>
          <w:szCs w:val="32"/>
        </w:rPr>
        <w:t>2009</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174</w:t>
      </w:r>
      <w:r>
        <w:rPr>
          <w:rFonts w:hint="eastAsia" w:ascii="仿宋_GB2312" w:hAnsi="宋体" w:eastAsia="仿宋_GB2312" w:cs="仿宋_GB2312"/>
          <w:sz w:val="32"/>
          <w:szCs w:val="32"/>
        </w:rPr>
        <w:t>号），并于</w:t>
      </w:r>
      <w:r>
        <w:rPr>
          <w:rFonts w:hint="default" w:ascii="Times New Roman" w:hAnsi="Times New Roman" w:eastAsia="仿宋_GB2312" w:cs="Times New Roman"/>
          <w:sz w:val="32"/>
          <w:szCs w:val="32"/>
        </w:rPr>
        <w:t>2014</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正式投入使用。该项目全路段采用改性沥青混凝土路面，对靠近黄埔大道跨线桥玉兰阁、南雅苑、天晖阁住宅楼面向道路一侧室外声环境超标的居民住宅楼安装通风隔声窗；但至今未完成该建设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另查明，穗环管影</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09</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174号环评批复文件系由广州市新光快速路有限公司办理，根据</w:t>
      </w:r>
      <w:r>
        <w:rPr>
          <w:rFonts w:hint="default" w:ascii="Times New Roman" w:hAnsi="Times New Roman" w:eastAsia="仿宋_GB2312" w:cs="Times New Roman"/>
          <w:sz w:val="32"/>
          <w:szCs w:val="32"/>
        </w:rPr>
        <w:t>2013</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日会议纪要（穗城投工会纪</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13</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33号），该公司已将涉案项目移交广州市建设投资发展有限公司管理。</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27</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182</w:t>
      </w:r>
      <w:r>
        <w:rPr>
          <w:rFonts w:hint="eastAsia" w:ascii="仿宋_GB2312" w:hAnsi="Times New Roman" w:eastAsia="仿宋_GB2312" w:cs="仿宋_GB2312"/>
          <w:sz w:val="32"/>
          <w:szCs w:val="32"/>
        </w:rPr>
        <w:t>号），并送达当事人</w:t>
      </w: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日当事人提交书面申辩意见如下：</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、环保措施均施工完成，环境监测单位招标完成；</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、因项目环保工程是按整体项目来报批的，虽项目的环保措施已按要求实施完成，但项目的部分工程按市政府指示暂缓实施，因此环保监测未实施，竣工验收未能进行；</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、项目是广州市南北交通主干线重要组成部分，其建设和使用都对区域交通影响巨大。经审理，当事人确实存在未验先投的违法行为，鉴于其正在积极实施整改行为，本案可在自由裁量幅度内酌情从轻处罚。</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2万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6</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r>
        <w:rPr>
          <w:rFonts w:hint="eastAsia" w:ascii="仿宋_GB2312" w:hAnsi="宋体" w:eastAsia="仿宋_GB2312" w:cs="仿宋_GB2312"/>
          <w:sz w:val="32"/>
          <w:szCs w:val="32"/>
        </w:rPr>
        <w:t>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28"/>
          <w:szCs w:val="28"/>
        </w:rPr>
        <w:t>抄送：局环评处、执法监察支队，越秀区、天河区环保局。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A6C53"/>
    <w:rsid w:val="268D0943"/>
    <w:rsid w:val="528A6C5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2019-01-30T09:02:00Z</dcterms:created>
  <dc:creator>黄文宇</dc:creator>
  <cp:lastModifiedBy>黄文宇</cp:lastModifiedBy>
  <dcterms:modified xsi:type="dcterms:W3CDTF">2019-01-30T09:03:03Z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