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40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穗环法罚〔2017〕40号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15日、16日调查发现，当事人申报建设的广东外语外贸大学教工饭堂建设项目环评文件于2004年7月2日经我局穗环管影〔2004〕168号批复同意；该项目于2005年2月开工建设，2005年11月投入使用至今；项目厨房燃料使用管道气，油烟废气经运水烟罩、活性炭吸附、静电除油装置处理后，由内置烟管引至3楼顶天面排放，厨房灶头由12个增加至17个，中央空调放置于1层室外，未配套建设冷却塔，项目产生的污水经自建隔油隔渣池处理后排入市政管网，但未完成项目需配套建设的环境保护设施竣工验收手续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责令当事人立即改正违法行为，完成项目竣工环保验收手续，并处罚款4万元。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12440000455859532W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仲伟合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穗环法罚〔2017〕40号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广东外语外贸大学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12440000455859532W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广州市白云大道北2号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日、</w:t>
      </w:r>
      <w:r>
        <w:rPr>
          <w:rFonts w:hint="eastAsia" w:ascii="仿宋_GB2312" w:hAnsi="宋体" w:eastAsia="仿宋_GB2312" w:cs="仿宋_GB2312"/>
          <w:sz w:val="32"/>
          <w:szCs w:val="32"/>
        </w:rPr>
        <w:t>16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日调查发现，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建设的广东</w:t>
      </w:r>
      <w:r>
        <w:rPr>
          <w:rFonts w:hint="eastAsia" w:ascii="仿宋_GB2312" w:hAnsi="宋体" w:eastAsia="仿宋_GB2312" w:cs="仿宋_GB2312"/>
          <w:sz w:val="32"/>
          <w:szCs w:val="32"/>
        </w:rPr>
        <w:t>外语外贸大学教工饭堂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建设项目环评文件于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168</w:t>
      </w:r>
      <w:r>
        <w:rPr>
          <w:rFonts w:hint="eastAsia" w:ascii="仿宋_GB2312" w:hAnsi="Times New Roman" w:eastAsia="仿宋_GB2312" w:cs="仿宋_GB2312"/>
          <w:sz w:val="32"/>
          <w:szCs w:val="32"/>
        </w:rPr>
        <w:t>号批复同意；该项目于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月开工建设，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05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月投入使用至今；</w:t>
      </w:r>
      <w:r>
        <w:rPr>
          <w:rFonts w:hint="eastAsia" w:ascii="仿宋_GB2312" w:hAnsi="宋体" w:eastAsia="仿宋_GB2312" w:cs="仿宋_GB2312"/>
          <w:sz w:val="32"/>
          <w:szCs w:val="32"/>
        </w:rPr>
        <w:t>项目厨房燃料使用管道气，油烟废气经运水烟罩、活性炭吸附、静电除油装置处理后，由内置烟管引至3楼顶天面排放，厨房灶头由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个增加至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个，中央空调主机放置于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层室外，未配套建设冷却塔，项目产生的污水经自建隔油隔渣池处理后排入市政管网，</w:t>
      </w:r>
      <w:r>
        <w:rPr>
          <w:rFonts w:hint="eastAsia" w:ascii="仿宋_GB2312" w:hAnsi="Times New Roman" w:eastAsia="仿宋_GB2312" w:cs="仿宋_GB2312"/>
          <w:sz w:val="32"/>
          <w:szCs w:val="32"/>
        </w:rPr>
        <w:t>但未完</w:t>
      </w:r>
      <w:r>
        <w:rPr>
          <w:rFonts w:hint="eastAsia" w:ascii="仿宋_GB2312" w:hAnsi="宋体" w:eastAsia="仿宋_GB2312" w:cs="仿宋_GB2312"/>
          <w:sz w:val="32"/>
          <w:szCs w:val="32"/>
        </w:rPr>
        <w:t>成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122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日向我局提交书面申辩意见如下：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、建设项目竣工后积极按照环保验收手续申报，但是由于校园（北校区）排水管网不符合雨污分流的规定，尚未办理排污口规范化手续；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建设单位正积极推进校园（北校区）雨污分流整改工作，目前家属区已经完成整改，但教学区和学生宿舍区因种种困难，尚未完成整改。经审理，我局认为当事人未验先投的违法事实清楚，但考虑到当事人具有公益性质，涉案项目不宜停止使用，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</w:t>
      </w:r>
      <w:r>
        <w:rPr>
          <w:rFonts w:hint="eastAsia" w:ascii="仿宋_GB2312" w:hAnsi="宋体" w:eastAsia="仿宋_GB2312" w:cs="仿宋_GB2312"/>
          <w:sz w:val="32"/>
          <w:szCs w:val="32"/>
        </w:rPr>
        <w:t>令</w:t>
      </w:r>
      <w:r>
        <w:rPr>
          <w:rFonts w:hint="eastAsia" w:ascii="仿宋_GB2312" w:hAnsi="Times New Roman" w:eastAsia="仿宋_GB2312" w:cs="仿宋_GB2312"/>
          <w:sz w:val="32"/>
          <w:szCs w:val="32"/>
        </w:rPr>
        <w:t>立即</w:t>
      </w:r>
      <w:r>
        <w:rPr>
          <w:rFonts w:hint="eastAsia" w:ascii="仿宋_GB2312" w:hAnsi="宋体" w:eastAsia="仿宋_GB2312" w:cs="仿宋_GB2312"/>
          <w:sz w:val="32"/>
          <w:szCs w:val="32"/>
        </w:rPr>
        <w:t>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，完</w:t>
      </w:r>
      <w:r>
        <w:rPr>
          <w:rFonts w:hint="eastAsia" w:ascii="仿宋_GB2312" w:hAnsi="宋体" w:eastAsia="仿宋_GB2312" w:cs="仿宋_GB2312"/>
          <w:sz w:val="32"/>
          <w:szCs w:val="32"/>
        </w:rPr>
        <w:t>成教工饭堂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4264"/>
    <w:rsid w:val="02CF4264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2019-01-30T08:59:00Z</dcterms:created>
  <dc:creator>黄文宇</dc:creator>
  <cp:lastModifiedBy>黄文宇</cp:lastModifiedBy>
  <dcterms:modified xsi:type="dcterms:W3CDTF">2019-01-30T09:00:24Z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