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rFonts w:hint="eastAsia" w:ascii="宋体" w:hAnsi="宋体" w:eastAsia="宋体" w:cs="宋体"/>
          <w:sz w:val="24"/>
          <w:szCs w:val="24"/>
        </w:rPr>
        <w:t> </w:t>
      </w:r>
      <w:bookmarkStart w:id="0" w:name="_GoBack"/>
      <w:r>
        <w:rPr>
          <w:rFonts w:ascii="宋体" w:hAnsi="宋体" w:eastAsia="宋体" w:cs="宋体"/>
          <w:b/>
          <w:bCs/>
          <w:color w:val="102401"/>
          <w:kern w:val="0"/>
          <w:sz w:val="32"/>
          <w:szCs w:val="32"/>
        </w:rPr>
        <w:t>穗环法罚〔2017〕</w:t>
      </w:r>
      <w:r>
        <w:rPr>
          <w:rFonts w:hint="eastAsia" w:ascii="宋体" w:hAnsi="宋体" w:eastAsia="宋体" w:cs="宋体"/>
          <w:b/>
          <w:bCs/>
          <w:color w:val="102401"/>
          <w:kern w:val="0"/>
          <w:sz w:val="32"/>
          <w:szCs w:val="32"/>
          <w:lang w:val="en-US" w:eastAsia="zh-CN"/>
        </w:rPr>
        <w:t>38</w:t>
      </w:r>
      <w:r>
        <w:rPr>
          <w:rFonts w:ascii="宋体" w:hAnsi="宋体" w:eastAsia="宋体" w:cs="宋体"/>
          <w:b/>
          <w:bCs/>
          <w:color w:val="102401"/>
          <w:kern w:val="0"/>
          <w:sz w:val="32"/>
          <w:szCs w:val="32"/>
        </w:rPr>
        <w:t>号</w:t>
      </w:r>
      <w:bookmarkEnd w:id="0"/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15" w:lineRule="atLeast"/>
        <w:ind w:left="0" w:right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       </w:t>
      </w:r>
    </w:p>
    <w:tbl>
      <w:tblPr>
        <w:tblW w:w="8568" w:type="dxa"/>
        <w:jc w:val="center"/>
        <w:tblInd w:w="0" w:type="dxa"/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8"/>
        <w:gridCol w:w="1620"/>
        <w:gridCol w:w="1440"/>
        <w:gridCol w:w="1080"/>
        <w:gridCol w:w="1080"/>
        <w:gridCol w:w="1440"/>
      </w:tblGrid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</w:rPr>
              <w:t>行政处罚决定文书号:</w:t>
            </w:r>
          </w:p>
        </w:tc>
        <w:tc>
          <w:tcPr>
            <w:tcW w:w="66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穗环法罚〔2017〕38号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9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</w:rPr>
              <w:t>处罚名称:</w:t>
            </w:r>
          </w:p>
        </w:tc>
        <w:tc>
          <w:tcPr>
            <w:tcW w:w="66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广州市建设投资发展有限公司行政处罚案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9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</w:rPr>
              <w:t>处罚类别:</w:t>
            </w:r>
          </w:p>
        </w:tc>
        <w:tc>
          <w:tcPr>
            <w:tcW w:w="66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罚款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9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</w:rPr>
              <w:t>处罚事由:</w:t>
            </w:r>
          </w:p>
        </w:tc>
        <w:tc>
          <w:tcPr>
            <w:tcW w:w="66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经我局执法监察支队2016年10月25日、11月1日调查发现，当事人建设的路灯所业务楼西侧外道路建设项目环评文件于2006年12月29日经我局穗环管影〔2006〕443号文批复同意，并于2007年11月开工建设、2010年10月投入使用。该项目已配套建设降噪沥青路面、雨污水分流系统等，但主线隔声窗未建设；至今未完成该建设项目需配套建设的环境保护设施竣工验收手续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19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</w:rPr>
              <w:t>处罚依据:</w:t>
            </w:r>
          </w:p>
        </w:tc>
        <w:tc>
          <w:tcPr>
            <w:tcW w:w="66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依据《中华人民共和国行政处罚法》第二十三条、《建设项目环境保护管理条例》第二十八条及《广州市环境保护局规范行政处罚自由裁量权规定》附件《环境违法行为行政处罚自由裁量适用标准》第8（2）（B）项的规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9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</w:rPr>
              <w:t>处罚结果:</w:t>
            </w:r>
          </w:p>
        </w:tc>
        <w:tc>
          <w:tcPr>
            <w:tcW w:w="66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责令当事人立即改正违法行为，完成该建设项目需配套建设的环境保护设施竣工验收手续，并处罚款4.5万元。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9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</w:rPr>
              <w:t>行政相对人名称:</w:t>
            </w:r>
          </w:p>
        </w:tc>
        <w:tc>
          <w:tcPr>
            <w:tcW w:w="66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广州市建设投资发展有限公司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90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</w:rPr>
              <w:t>行政相对人代码: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</w:rPr>
              <w:t>统一社会信用代码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</w:rPr>
              <w:t>组织机构代码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</w:rPr>
              <w:t>工商登记码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</w:rPr>
              <w:t>税务登记号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</w:rPr>
              <w:t>居民身份证号码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9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91440101231250090T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 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9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</w:rPr>
              <w:t>法人代表姓名:</w:t>
            </w:r>
          </w:p>
        </w:tc>
        <w:tc>
          <w:tcPr>
            <w:tcW w:w="66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赵晓川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9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</w:rPr>
              <w:t>处罚决定日期:</w:t>
            </w:r>
          </w:p>
        </w:tc>
        <w:tc>
          <w:tcPr>
            <w:tcW w:w="66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2017/3/22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9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</w:rPr>
              <w:t>处罚机关:</w:t>
            </w:r>
          </w:p>
        </w:tc>
        <w:tc>
          <w:tcPr>
            <w:tcW w:w="66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广州市环境保护局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9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</w:rPr>
              <w:t>地方编码:</w:t>
            </w:r>
          </w:p>
        </w:tc>
        <w:tc>
          <w:tcPr>
            <w:tcW w:w="66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400100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9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</w:rPr>
              <w:t>当前状态:</w:t>
            </w:r>
          </w:p>
        </w:tc>
        <w:tc>
          <w:tcPr>
            <w:tcW w:w="66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正常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9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bdr w:val="none" w:color="auto" w:sz="0" w:space="0"/>
              </w:rPr>
              <w:t>数据更新时间戳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</w:rPr>
              <w:t>:</w:t>
            </w:r>
          </w:p>
        </w:tc>
        <w:tc>
          <w:tcPr>
            <w:tcW w:w="66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2017/3/22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9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</w:rPr>
              <w:t>备注:</w:t>
            </w:r>
          </w:p>
        </w:tc>
        <w:tc>
          <w:tcPr>
            <w:tcW w:w="66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15" w:lineRule="atLeast"/>
        <w:ind w:left="0" w:right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15" w:lineRule="atLeast"/>
        <w:jc w:val="left"/>
        <w:rPr>
          <w:rFonts w:hint="eastAsia" w:ascii="宋体" w:hAnsi="宋体" w:eastAsia="宋体" w:cs="宋体"/>
          <w:sz w:val="32"/>
          <w:szCs w:val="32"/>
        </w:rPr>
      </w:pPr>
      <w:r>
        <w:rPr>
          <w:rStyle w:val="4"/>
          <w:rFonts w:hint="eastAsia" w:ascii="宋体" w:hAnsi="宋体" w:eastAsia="宋体" w:cs="宋体"/>
          <w:kern w:val="0"/>
          <w:sz w:val="32"/>
          <w:szCs w:val="32"/>
          <w:lang w:val="en-US" w:eastAsia="zh-CN" w:bidi="ar"/>
        </w:rPr>
        <w:t xml:space="preserve">  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15" w:lineRule="atLeast"/>
        <w:jc w:val="left"/>
        <w:rPr>
          <w:rFonts w:hint="eastAsia" w:ascii="宋体" w:hAnsi="宋体" w:eastAsia="宋体" w:cs="宋体"/>
          <w:sz w:val="32"/>
          <w:szCs w:val="32"/>
        </w:rPr>
      </w:pPr>
      <w:r>
        <w:rPr>
          <w:rStyle w:val="4"/>
          <w:rFonts w:hint="eastAsia" w:ascii="宋体" w:hAnsi="宋体" w:eastAsia="宋体" w:cs="宋体"/>
          <w:kern w:val="0"/>
          <w:sz w:val="32"/>
          <w:szCs w:val="32"/>
          <w:lang w:val="en-US" w:eastAsia="zh-CN" w:bidi="ar"/>
        </w:rPr>
        <w:t>全文信息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15" w:lineRule="atLeast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 </w:t>
      </w:r>
    </w:p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 w:line="560" w:lineRule="atLeast"/>
        <w:jc w:val="center"/>
        <w:rPr>
          <w:rFonts w:hint="eastAsia" w:ascii="宋体" w:hAnsi="宋体" w:eastAsia="宋体" w:cs="宋体"/>
          <w:sz w:val="24"/>
          <w:szCs w:val="24"/>
        </w:rPr>
      </w:pPr>
      <w:r>
        <w:rPr>
          <w:rFonts w:ascii="方正小标宋简体" w:hAnsi="方正小标宋简体" w:eastAsia="方正小标宋简体" w:cs="方正小标宋简体"/>
          <w:b/>
          <w:bCs w:val="0"/>
          <w:sz w:val="44"/>
          <w:szCs w:val="44"/>
        </w:rPr>
        <w:t>行政处罚决定书</w:t>
      </w:r>
    </w:p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 w:line="560" w:lineRule="atLeast"/>
        <w:jc w:val="center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napToGrid w:val="0"/>
          <w:sz w:val="24"/>
          <w:szCs w:val="24"/>
        </w:rPr>
        <w:t> </w:t>
      </w:r>
    </w:p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 w:line="560" w:lineRule="atLeast"/>
        <w:jc w:val="center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穗环法罚〔2017〕38号</w:t>
      </w:r>
    </w:p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 w:line="560" w:lineRule="atLeast"/>
        <w:jc w:val="center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napToGrid w:val="0"/>
          <w:sz w:val="30"/>
          <w:szCs w:val="30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00" w:lineRule="atLeast"/>
        <w:rPr>
          <w:rFonts w:hint="eastAsia" w:ascii="宋体" w:hAnsi="宋体" w:eastAsia="宋体" w:cs="宋体"/>
          <w:sz w:val="24"/>
          <w:szCs w:val="24"/>
        </w:rPr>
      </w:pPr>
      <w:r>
        <w:rPr>
          <w:rFonts w:ascii="仿宋_GB2312" w:hAnsi="Times New Roman" w:eastAsia="仿宋_GB2312" w:cs="仿宋_GB2312"/>
          <w:sz w:val="32"/>
          <w:szCs w:val="32"/>
        </w:rPr>
        <w:t>当事人：</w:t>
      </w:r>
      <w:r>
        <w:rPr>
          <w:rFonts w:hint="eastAsia" w:ascii="仿宋_GB2312" w:hAnsi="宋体" w:eastAsia="仿宋_GB2312" w:cs="仿宋_GB2312"/>
          <w:sz w:val="32"/>
          <w:szCs w:val="32"/>
        </w:rPr>
        <w:t>广州市建设投资发展有限公司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00" w:lineRule="atLeas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统一社会信用代码</w:t>
      </w:r>
      <w:r>
        <w:rPr>
          <w:rFonts w:hint="eastAsia" w:ascii="仿宋_GB2312" w:hAnsi="Times New Roman" w:eastAsia="仿宋_GB2312" w:cs="仿宋_GB2312"/>
          <w:sz w:val="32"/>
          <w:szCs w:val="32"/>
        </w:rPr>
        <w:t>：</w:t>
      </w:r>
      <w:r>
        <w:rPr>
          <w:rFonts w:hint="eastAsia" w:ascii="仿宋_GB2312" w:hAnsi="宋体" w:eastAsia="仿宋_GB2312" w:cs="仿宋_GB2312"/>
          <w:sz w:val="32"/>
          <w:szCs w:val="32"/>
        </w:rPr>
        <w:t>91440101231250090T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00" w:lineRule="atLeas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地</w:t>
      </w:r>
      <w:r>
        <w:rPr>
          <w:rFonts w:hint="default" w:ascii="Times New Roman" w:hAnsi="Times New Roman" w:eastAsia="宋体" w:cs="Times New Roman"/>
          <w:sz w:val="32"/>
          <w:szCs w:val="32"/>
        </w:rPr>
        <w:t xml:space="preserve">  </w:t>
      </w:r>
      <w:r>
        <w:rPr>
          <w:rFonts w:hint="eastAsia" w:ascii="仿宋_GB2312" w:hAnsi="Times New Roman" w:eastAsia="仿宋_GB2312" w:cs="仿宋_GB2312"/>
          <w:sz w:val="32"/>
          <w:szCs w:val="32"/>
        </w:rPr>
        <w:t>址：</w:t>
      </w:r>
      <w:r>
        <w:rPr>
          <w:rFonts w:hint="eastAsia" w:ascii="仿宋_GB2312" w:hAnsi="宋体" w:eastAsia="仿宋_GB2312" w:cs="仿宋_GB2312"/>
          <w:sz w:val="32"/>
          <w:szCs w:val="32"/>
        </w:rPr>
        <w:t>广州市越秀区沿江中路298号江湾新城大酒店商业中心</w:t>
      </w:r>
      <w:r>
        <w:rPr>
          <w:rFonts w:hint="default" w:ascii="Times New Roman" w:hAnsi="Times New Roman" w:eastAsia="仿宋_GB2312" w:cs="Times New Roman"/>
          <w:sz w:val="32"/>
          <w:szCs w:val="32"/>
        </w:rPr>
        <w:t>19</w:t>
      </w:r>
      <w:r>
        <w:rPr>
          <w:rFonts w:hint="eastAsia" w:ascii="仿宋_GB2312" w:hAnsi="宋体" w:eastAsia="仿宋_GB2312" w:cs="仿宋_GB2312"/>
          <w:sz w:val="32"/>
          <w:szCs w:val="32"/>
        </w:rPr>
        <w:t>楼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00" w:lineRule="atLeast"/>
        <w:ind w:left="0" w:firstLine="64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经我局执法监察支队2016年</w:t>
      </w:r>
      <w:r>
        <w:rPr>
          <w:rFonts w:hint="default" w:ascii="Times New Roman" w:hAnsi="Times New Roman" w:eastAsia="仿宋_GB2312" w:cs="Times New Roman"/>
          <w:sz w:val="32"/>
          <w:szCs w:val="32"/>
        </w:rPr>
        <w:t>10</w:t>
      </w:r>
      <w:r>
        <w:rPr>
          <w:rFonts w:hint="eastAsia" w:ascii="仿宋_GB2312" w:hAnsi="宋体" w:eastAsia="仿宋_GB2312" w:cs="仿宋_GB2312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25</w:t>
      </w:r>
      <w:r>
        <w:rPr>
          <w:rFonts w:hint="eastAsia" w:ascii="仿宋_GB2312" w:hAnsi="宋体" w:eastAsia="仿宋_GB2312" w:cs="仿宋_GB2312"/>
          <w:sz w:val="32"/>
          <w:szCs w:val="32"/>
        </w:rPr>
        <w:t>日、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11</w:t>
      </w:r>
      <w:r>
        <w:rPr>
          <w:rFonts w:hint="eastAsia" w:ascii="仿宋_GB2312" w:hAnsi="宋体" w:eastAsia="仿宋_GB2312" w:cs="仿宋_GB2312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1</w:t>
      </w:r>
      <w:r>
        <w:rPr>
          <w:rFonts w:hint="eastAsia" w:ascii="仿宋_GB2312" w:hAnsi="宋体" w:eastAsia="仿宋_GB2312" w:cs="仿宋_GB2312"/>
          <w:sz w:val="32"/>
          <w:szCs w:val="32"/>
        </w:rPr>
        <w:t>日调查发现，当事人建设的路灯所业务楼西侧外道路建设项目环评文件于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2006</w:t>
      </w:r>
      <w:r>
        <w:rPr>
          <w:rFonts w:hint="eastAsia" w:ascii="仿宋_GB2312" w:hAnsi="宋体" w:eastAsia="仿宋_GB2312" w:cs="仿宋_GB2312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</w:rPr>
        <w:t>12</w:t>
      </w:r>
      <w:r>
        <w:rPr>
          <w:rFonts w:hint="eastAsia" w:ascii="仿宋_GB2312" w:hAnsi="宋体" w:eastAsia="仿宋_GB2312" w:cs="仿宋_GB2312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29</w:t>
      </w:r>
      <w:r>
        <w:rPr>
          <w:rFonts w:hint="eastAsia" w:ascii="仿宋_GB2312" w:hAnsi="宋体" w:eastAsia="仿宋_GB2312" w:cs="仿宋_GB2312"/>
          <w:sz w:val="32"/>
          <w:szCs w:val="32"/>
        </w:rPr>
        <w:t>日经我局穗环管影〔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2006</w:t>
      </w:r>
      <w:r>
        <w:rPr>
          <w:rFonts w:hint="eastAsia" w:ascii="仿宋_GB2312" w:hAnsi="宋体" w:eastAsia="仿宋_GB2312" w:cs="仿宋_GB2312"/>
          <w:sz w:val="32"/>
          <w:szCs w:val="32"/>
        </w:rPr>
        <w:t>〕</w:t>
      </w:r>
      <w:r>
        <w:rPr>
          <w:rFonts w:hint="default" w:ascii="Times New Roman" w:hAnsi="Times New Roman" w:eastAsia="仿宋_GB2312" w:cs="Times New Roman"/>
          <w:sz w:val="32"/>
          <w:szCs w:val="32"/>
        </w:rPr>
        <w:t>443</w:t>
      </w:r>
      <w:r>
        <w:rPr>
          <w:rFonts w:hint="eastAsia" w:ascii="仿宋_GB2312" w:hAnsi="宋体" w:eastAsia="仿宋_GB2312" w:cs="仿宋_GB2312"/>
          <w:sz w:val="32"/>
          <w:szCs w:val="32"/>
        </w:rPr>
        <w:t>号文批复同意，并于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2007</w:t>
      </w:r>
      <w:r>
        <w:rPr>
          <w:rFonts w:hint="eastAsia" w:ascii="仿宋_GB2312" w:hAnsi="宋体" w:eastAsia="仿宋_GB2312" w:cs="仿宋_GB2312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</w:rPr>
        <w:t>11</w:t>
      </w:r>
      <w:r>
        <w:rPr>
          <w:rFonts w:hint="eastAsia" w:ascii="仿宋_GB2312" w:hAnsi="宋体" w:eastAsia="仿宋_GB2312" w:cs="仿宋_GB2312"/>
          <w:sz w:val="32"/>
          <w:szCs w:val="32"/>
        </w:rPr>
        <w:t>月开工建设、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2010</w:t>
      </w:r>
      <w:r>
        <w:rPr>
          <w:rFonts w:hint="eastAsia" w:ascii="仿宋_GB2312" w:hAnsi="宋体" w:eastAsia="仿宋_GB2312" w:cs="仿宋_GB2312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</w:rPr>
        <w:t>10</w:t>
      </w:r>
      <w:r>
        <w:rPr>
          <w:rFonts w:hint="eastAsia" w:ascii="仿宋_GB2312" w:hAnsi="宋体" w:eastAsia="仿宋_GB2312" w:cs="仿宋_GB2312"/>
          <w:sz w:val="32"/>
          <w:szCs w:val="32"/>
        </w:rPr>
        <w:t>月投入使用。该项目已配套建设降噪沥青路面、雨污水分流系统等，但主线隔声窗未建设；至今未完成该建设项目需配套建设的环境保护设施竣工验收手续。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00" w:lineRule="atLeast"/>
        <w:ind w:left="0" w:firstLine="64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以上事实，有《询问笔录》</w:t>
      </w:r>
      <w:r>
        <w:rPr>
          <w:rFonts w:hint="eastAsia" w:ascii="仿宋_GB2312" w:hAnsi="宋体" w:eastAsia="仿宋_GB2312" w:cs="仿宋_GB2312"/>
          <w:sz w:val="32"/>
          <w:szCs w:val="32"/>
        </w:rPr>
        <w:t>、《现场检查笔录》</w:t>
      </w:r>
      <w:r>
        <w:rPr>
          <w:rFonts w:hint="eastAsia" w:ascii="仿宋_GB2312" w:hAnsi="Times New Roman" w:eastAsia="仿宋_GB2312" w:cs="仿宋_GB2312"/>
          <w:sz w:val="32"/>
          <w:szCs w:val="32"/>
        </w:rPr>
        <w:t>等证据为证。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00" w:lineRule="atLeast"/>
        <w:ind w:left="0" w:firstLine="64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当事人上述行为</w:t>
      </w:r>
      <w:r>
        <w:rPr>
          <w:rFonts w:hint="eastAsia" w:ascii="仿宋_GB2312" w:hAnsi="宋体" w:eastAsia="仿宋_GB2312" w:cs="仿宋_GB2312"/>
          <w:sz w:val="32"/>
          <w:szCs w:val="32"/>
        </w:rPr>
        <w:t>违反了《建设项目环境保护管理条例》第二十三条</w:t>
      </w:r>
      <w:r>
        <w:rPr>
          <w:rFonts w:hint="eastAsia" w:ascii="仿宋_GB2312" w:hAnsi="Times New Roman" w:eastAsia="仿宋_GB2312" w:cs="仿宋_GB2312"/>
          <w:sz w:val="32"/>
          <w:szCs w:val="32"/>
        </w:rPr>
        <w:t>的规定。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00" w:lineRule="atLeast"/>
        <w:ind w:left="0" w:firstLine="640"/>
        <w:rPr>
          <w:rFonts w:hint="eastAsia" w:ascii="宋体" w:hAnsi="宋体" w:eastAsia="宋体" w:cs="宋体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32"/>
          <w:szCs w:val="32"/>
        </w:rPr>
        <w:t>201</w:t>
      </w:r>
      <w:r>
        <w:rPr>
          <w:rFonts w:hint="eastAsia" w:ascii="仿宋_GB2312" w:hAnsi="宋体" w:eastAsia="仿宋_GB2312" w:cs="仿宋_GB2312"/>
          <w:sz w:val="32"/>
          <w:szCs w:val="32"/>
        </w:rPr>
        <w:t>7</w:t>
      </w:r>
      <w:r>
        <w:rPr>
          <w:rFonts w:hint="eastAsia" w:ascii="仿宋_GB2312" w:hAnsi="Times New Roman" w:eastAsia="仿宋_GB2312" w:cs="仿宋_GB2312"/>
          <w:sz w:val="32"/>
          <w:szCs w:val="32"/>
        </w:rPr>
        <w:t>年</w:t>
      </w:r>
      <w:r>
        <w:rPr>
          <w:rFonts w:hint="eastAsia" w:ascii="仿宋_GB2312" w:hAnsi="宋体" w:eastAsia="仿宋_GB2312" w:cs="仿宋_GB2312"/>
          <w:sz w:val="32"/>
          <w:szCs w:val="32"/>
        </w:rPr>
        <w:t>1</w:t>
      </w:r>
      <w:r>
        <w:rPr>
          <w:rFonts w:hint="eastAsia" w:ascii="仿宋_GB2312" w:hAnsi="Times New Roman" w:eastAsia="仿宋_GB2312" w:cs="仿宋_GB2312"/>
          <w:sz w:val="32"/>
          <w:szCs w:val="32"/>
        </w:rPr>
        <w:t>月</w:t>
      </w:r>
      <w:r>
        <w:rPr>
          <w:rFonts w:hint="eastAsia" w:ascii="仿宋_GB2312" w:hAnsi="宋体" w:eastAsia="仿宋_GB2312" w:cs="仿宋_GB2312"/>
          <w:sz w:val="32"/>
          <w:szCs w:val="32"/>
        </w:rPr>
        <w:t>13</w:t>
      </w:r>
      <w:r>
        <w:rPr>
          <w:rFonts w:hint="eastAsia" w:ascii="仿宋_GB2312" w:hAnsi="Times New Roman" w:eastAsia="仿宋_GB2312" w:cs="仿宋_GB2312"/>
          <w:sz w:val="32"/>
          <w:szCs w:val="32"/>
        </w:rPr>
        <w:t>日，我局作出《行政处罚告知书》（穗环法告〔</w:t>
      </w:r>
      <w:r>
        <w:rPr>
          <w:rFonts w:hint="default" w:ascii="Times New Roman" w:hAnsi="Times New Roman" w:eastAsia="宋体" w:cs="Times New Roman"/>
          <w:sz w:val="32"/>
          <w:szCs w:val="32"/>
        </w:rPr>
        <w:t>201</w:t>
      </w:r>
      <w:r>
        <w:rPr>
          <w:rFonts w:hint="eastAsia" w:ascii="仿宋_GB2312" w:hAnsi="宋体" w:eastAsia="仿宋_GB2312" w:cs="仿宋_GB2312"/>
          <w:sz w:val="32"/>
          <w:szCs w:val="32"/>
        </w:rPr>
        <w:t>7</w:t>
      </w:r>
      <w:r>
        <w:rPr>
          <w:rFonts w:hint="eastAsia" w:ascii="仿宋_GB2312" w:hAnsi="Times New Roman" w:eastAsia="仿宋_GB2312" w:cs="仿宋_GB2312"/>
          <w:sz w:val="32"/>
          <w:szCs w:val="32"/>
        </w:rPr>
        <w:t>〕</w:t>
      </w:r>
      <w:r>
        <w:rPr>
          <w:rFonts w:hint="eastAsia" w:ascii="仿宋_GB2312" w:hAnsi="宋体" w:eastAsia="仿宋_GB2312" w:cs="仿宋_GB2312"/>
          <w:sz w:val="32"/>
          <w:szCs w:val="32"/>
        </w:rPr>
        <w:t>7</w:t>
      </w:r>
      <w:r>
        <w:rPr>
          <w:rFonts w:hint="eastAsia" w:ascii="仿宋_GB2312" w:hAnsi="Times New Roman" w:eastAsia="仿宋_GB2312" w:cs="仿宋_GB2312"/>
          <w:sz w:val="32"/>
          <w:szCs w:val="32"/>
        </w:rPr>
        <w:t>号），并送达当事人</w:t>
      </w:r>
      <w:r>
        <w:rPr>
          <w:rFonts w:hint="eastAsia" w:ascii="仿宋_GB2312" w:hAnsi="宋体" w:eastAsia="仿宋_GB2312" w:cs="仿宋_GB2312"/>
          <w:sz w:val="32"/>
          <w:szCs w:val="32"/>
        </w:rPr>
        <w:t>，2017年</w:t>
      </w:r>
      <w:r>
        <w:rPr>
          <w:rFonts w:hint="default" w:ascii="Times New Roman" w:hAnsi="Times New Roman" w:eastAsia="仿宋_GB2312" w:cs="Times New Roman"/>
          <w:sz w:val="32"/>
          <w:szCs w:val="32"/>
        </w:rPr>
        <w:t>1</w:t>
      </w:r>
      <w:r>
        <w:rPr>
          <w:rFonts w:hint="eastAsia" w:ascii="仿宋_GB2312" w:hAnsi="宋体" w:eastAsia="仿宋_GB2312" w:cs="仿宋_GB2312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22</w:t>
      </w:r>
      <w:r>
        <w:rPr>
          <w:rFonts w:hint="eastAsia" w:ascii="仿宋_GB2312" w:hAnsi="宋体" w:eastAsia="仿宋_GB2312" w:cs="仿宋_GB2312"/>
          <w:sz w:val="32"/>
          <w:szCs w:val="32"/>
        </w:rPr>
        <w:t>日当事人提交书面申辩意见如下：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1</w:t>
      </w:r>
      <w:r>
        <w:rPr>
          <w:rFonts w:hint="eastAsia" w:ascii="仿宋_GB2312" w:hAnsi="宋体" w:eastAsia="仿宋_GB2312" w:cs="仿宋_GB2312"/>
          <w:sz w:val="32"/>
          <w:szCs w:val="32"/>
        </w:rPr>
        <w:t>、工程属性为城市支路改造，因征地问题有近一半的内容无法实施；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</w:t>
      </w:r>
      <w:r>
        <w:rPr>
          <w:rFonts w:hint="eastAsia" w:ascii="仿宋_GB2312" w:hAnsi="宋体" w:eastAsia="仿宋_GB2312" w:cs="仿宋_GB2312"/>
          <w:sz w:val="32"/>
          <w:szCs w:val="32"/>
        </w:rPr>
        <w:t>、工程投用多年，作为项目建设管理单位，对于涉案项目停止使用实无决定权；</w:t>
      </w:r>
      <w:r>
        <w:rPr>
          <w:rFonts w:hint="default" w:ascii="Times New Roman" w:hAnsi="Times New Roman" w:eastAsia="仿宋_GB2312" w:cs="Times New Roman"/>
          <w:sz w:val="32"/>
          <w:szCs w:val="32"/>
        </w:rPr>
        <w:t>3</w:t>
      </w:r>
      <w:r>
        <w:rPr>
          <w:rFonts w:hint="eastAsia" w:ascii="仿宋_GB2312" w:hAnsi="宋体" w:eastAsia="仿宋_GB2312" w:cs="仿宋_GB2312"/>
          <w:sz w:val="32"/>
          <w:szCs w:val="32"/>
        </w:rPr>
        <w:t>、至今未收到环保方面的投诉；</w:t>
      </w:r>
      <w:r>
        <w:rPr>
          <w:rFonts w:hint="default" w:ascii="Times New Roman" w:hAnsi="Times New Roman" w:eastAsia="仿宋_GB2312" w:cs="Times New Roman"/>
          <w:sz w:val="32"/>
          <w:szCs w:val="32"/>
        </w:rPr>
        <w:t>4</w:t>
      </w:r>
      <w:r>
        <w:rPr>
          <w:rFonts w:hint="eastAsia" w:ascii="仿宋_GB2312" w:hAnsi="宋体" w:eastAsia="仿宋_GB2312" w:cs="仿宋_GB2312"/>
          <w:sz w:val="32"/>
          <w:szCs w:val="32"/>
        </w:rPr>
        <w:t>、计划启动环评验收和监测工作，但验收相关费用需单独立项申报。</w:t>
      </w:r>
      <w:r>
        <w:rPr>
          <w:rFonts w:hint="eastAsia" w:ascii="仿宋_GB2312" w:hAnsi="Times New Roman" w:eastAsia="仿宋_GB2312" w:cs="仿宋_GB2312"/>
          <w:sz w:val="32"/>
          <w:szCs w:val="32"/>
        </w:rPr>
        <w:t>现本案经我局审查结束。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00" w:lineRule="atLeast"/>
        <w:ind w:left="0" w:firstLine="64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我局依据</w:t>
      </w:r>
      <w:r>
        <w:rPr>
          <w:rFonts w:hint="eastAsia" w:ascii="仿宋_GB2312" w:hAnsi="宋体" w:eastAsia="仿宋_GB2312" w:cs="仿宋_GB2312"/>
          <w:sz w:val="32"/>
          <w:szCs w:val="32"/>
        </w:rPr>
        <w:t>《中华人民共和国行政处罚法》第二十三条、《建设项目环境保护管理条例》第二十八条及《广州市环境保护局规范行政处罚自由裁量权规定》附件《环境违法行为行政处罚自由裁量适用标准》第8（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</w:t>
      </w:r>
      <w:r>
        <w:rPr>
          <w:rFonts w:hint="eastAsia" w:ascii="仿宋_GB2312" w:hAnsi="宋体" w:eastAsia="仿宋_GB2312" w:cs="仿宋_GB2312"/>
          <w:sz w:val="32"/>
          <w:szCs w:val="32"/>
        </w:rPr>
        <w:t>）（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B</w:t>
      </w:r>
      <w:r>
        <w:rPr>
          <w:rFonts w:hint="eastAsia" w:ascii="仿宋_GB2312" w:hAnsi="宋体" w:eastAsia="仿宋_GB2312" w:cs="仿宋_GB2312"/>
          <w:sz w:val="32"/>
          <w:szCs w:val="32"/>
        </w:rPr>
        <w:t>）项</w:t>
      </w:r>
      <w:r>
        <w:rPr>
          <w:rFonts w:hint="eastAsia" w:ascii="仿宋_GB2312" w:hAnsi="Times New Roman" w:eastAsia="仿宋_GB2312" w:cs="仿宋_GB2312"/>
          <w:sz w:val="32"/>
          <w:szCs w:val="32"/>
        </w:rPr>
        <w:t>的规定，责令</w:t>
      </w:r>
      <w:r>
        <w:rPr>
          <w:rFonts w:hint="eastAsia" w:ascii="仿宋_GB2312" w:hAnsi="宋体" w:eastAsia="仿宋_GB2312" w:cs="仿宋_GB2312"/>
          <w:sz w:val="32"/>
          <w:szCs w:val="32"/>
        </w:rPr>
        <w:t>当事人立即改正违法行为</w:t>
      </w:r>
      <w:r>
        <w:rPr>
          <w:rFonts w:hint="eastAsia" w:ascii="仿宋_GB2312" w:hAnsi="Times New Roman" w:eastAsia="仿宋_GB2312" w:cs="仿宋_GB2312"/>
          <w:sz w:val="32"/>
          <w:szCs w:val="32"/>
        </w:rPr>
        <w:t>，</w:t>
      </w:r>
      <w:r>
        <w:rPr>
          <w:rFonts w:hint="eastAsia" w:ascii="仿宋_GB2312" w:hAnsi="宋体" w:eastAsia="仿宋_GB2312" w:cs="仿宋_GB2312"/>
          <w:sz w:val="32"/>
          <w:szCs w:val="32"/>
        </w:rPr>
        <w:t>完成该建设项目需配套建设的环境保护设施竣工验收手续</w:t>
      </w:r>
      <w:r>
        <w:rPr>
          <w:rFonts w:hint="eastAsia" w:ascii="仿宋_GB2312" w:hAnsi="Times New Roman" w:eastAsia="仿宋_GB2312" w:cs="仿宋_GB2312"/>
          <w:sz w:val="32"/>
          <w:szCs w:val="32"/>
        </w:rPr>
        <w:t>，并作出处罚如下：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00" w:lineRule="atLeast"/>
        <w:ind w:left="0" w:firstLine="64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罚款</w:t>
      </w:r>
      <w:r>
        <w:rPr>
          <w:rFonts w:hint="eastAsia" w:ascii="仿宋_GB2312" w:hAnsi="宋体" w:eastAsia="仿宋_GB2312" w:cs="仿宋_GB2312"/>
          <w:sz w:val="32"/>
          <w:szCs w:val="32"/>
        </w:rPr>
        <w:t>4.5万</w:t>
      </w:r>
      <w:r>
        <w:rPr>
          <w:rFonts w:hint="eastAsia" w:ascii="仿宋_GB2312" w:hAnsi="Times New Roman" w:eastAsia="仿宋_GB2312" w:cs="仿宋_GB2312"/>
          <w:sz w:val="32"/>
          <w:szCs w:val="32"/>
        </w:rPr>
        <w:t>元。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00" w:lineRule="atLeast"/>
        <w:ind w:left="0" w:firstLine="64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限当事人在收到本处罚决定书之日起</w:t>
      </w:r>
      <w:r>
        <w:rPr>
          <w:rFonts w:hint="default" w:ascii="Times New Roman" w:hAnsi="Times New Roman" w:eastAsia="宋体" w:cs="Times New Roman"/>
          <w:sz w:val="32"/>
          <w:szCs w:val="32"/>
        </w:rPr>
        <w:t>15</w:t>
      </w:r>
      <w:r>
        <w:rPr>
          <w:rFonts w:hint="eastAsia" w:ascii="仿宋_GB2312" w:hAnsi="Times New Roman" w:eastAsia="仿宋_GB2312" w:cs="仿宋_GB2312"/>
          <w:sz w:val="32"/>
          <w:szCs w:val="32"/>
        </w:rPr>
        <w:t>日内，按照《广州市非税收入缴款通知书》的要求，将上述罚款缴到非税收入代收银行（工商银行、建设银行、广州银行、广州农村商业银行、中国银行、农业银行、邮政储蓄银行、交通银行、光大银行、中信银行、广发银行、浦发银行、华夏银行），收入项目编码：</w:t>
      </w:r>
      <w:r>
        <w:rPr>
          <w:rFonts w:hint="default" w:ascii="Times New Roman" w:hAnsi="Times New Roman" w:eastAsia="宋体" w:cs="Times New Roman"/>
          <w:sz w:val="32"/>
          <w:szCs w:val="32"/>
        </w:rPr>
        <w:t>3124</w:t>
      </w:r>
      <w:r>
        <w:rPr>
          <w:rFonts w:hint="eastAsia" w:ascii="仿宋_GB2312" w:hAnsi="Times New Roman" w:eastAsia="仿宋_GB2312" w:cs="仿宋_GB2312"/>
          <w:sz w:val="32"/>
          <w:szCs w:val="32"/>
        </w:rPr>
        <w:t>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00" w:lineRule="atLeast"/>
        <w:ind w:left="0" w:firstLine="64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如不服上述行政处罚决定，可在接到本处罚决定书之日起</w:t>
      </w:r>
      <w:r>
        <w:rPr>
          <w:rFonts w:hint="default" w:ascii="Times New Roman" w:hAnsi="Times New Roman" w:eastAsia="宋体" w:cs="Times New Roman"/>
          <w:sz w:val="32"/>
          <w:szCs w:val="32"/>
        </w:rPr>
        <w:t>60</w:t>
      </w:r>
      <w:r>
        <w:rPr>
          <w:rFonts w:hint="eastAsia" w:ascii="仿宋_GB2312" w:hAnsi="Times New Roman" w:eastAsia="仿宋_GB2312" w:cs="仿宋_GB2312"/>
          <w:sz w:val="32"/>
          <w:szCs w:val="32"/>
        </w:rPr>
        <w:t>日内，向广州市人民政府或广东省环境保护厅提出行政复议申请，或在</w:t>
      </w:r>
      <w:r>
        <w:rPr>
          <w:rFonts w:hint="eastAsia" w:ascii="仿宋_GB2312" w:hAnsi="宋体" w:eastAsia="仿宋_GB2312" w:cs="仿宋_GB2312"/>
          <w:sz w:val="32"/>
          <w:szCs w:val="32"/>
        </w:rPr>
        <w:t>六个月</w:t>
      </w:r>
      <w:r>
        <w:rPr>
          <w:rFonts w:hint="eastAsia" w:ascii="仿宋_GB2312" w:hAnsi="Times New Roman" w:eastAsia="仿宋_GB2312" w:cs="仿宋_GB2312"/>
          <w:sz w:val="32"/>
          <w:szCs w:val="32"/>
        </w:rPr>
        <w:t>内直接向</w:t>
      </w:r>
      <w:r>
        <w:rPr>
          <w:rFonts w:hint="eastAsia" w:ascii="仿宋_GB2312" w:hAnsi="宋体" w:eastAsia="仿宋_GB2312" w:cs="仿宋_GB2312"/>
          <w:sz w:val="32"/>
          <w:szCs w:val="32"/>
        </w:rPr>
        <w:t>有管辖权的</w:t>
      </w:r>
      <w:r>
        <w:rPr>
          <w:rFonts w:hint="eastAsia" w:ascii="仿宋_GB2312" w:hAnsi="Times New Roman" w:eastAsia="仿宋_GB2312" w:cs="仿宋_GB2312"/>
          <w:sz w:val="32"/>
          <w:szCs w:val="32"/>
        </w:rPr>
        <w:t>人民法院提起行政诉讼。行政复议、行政诉讼期间内，不得停止本决定的履行。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00" w:lineRule="atLeast"/>
        <w:ind w:left="0" w:firstLine="64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逾期不履行本处罚决定，我局将申请人民法院强制执行，并按罚款额每日加处百分之三罚款。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00" w:lineRule="atLeast"/>
        <w:ind w:left="0" w:firstLine="64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 </w:t>
      </w:r>
    </w:p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 w:line="500" w:lineRule="atLeast"/>
        <w:ind w:right="968"/>
        <w:jc w:val="righ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napToGrid w:val="0"/>
          <w:sz w:val="24"/>
          <w:szCs w:val="24"/>
        </w:rPr>
        <w:t> </w:t>
      </w:r>
    </w:p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 w:line="500" w:lineRule="atLeast"/>
        <w:ind w:right="968"/>
        <w:jc w:val="righ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广州市环境保护局</w:t>
      </w:r>
    </w:p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 w:line="500" w:lineRule="atLeast"/>
        <w:ind w:right="968"/>
        <w:jc w:val="righ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2017年</w:t>
      </w:r>
      <w:r>
        <w:rPr>
          <w:rFonts w:hint="default" w:ascii="Times New Roman" w:hAnsi="Times New Roman" w:eastAsia="仿宋_GB2312" w:cs="Times New Roman"/>
          <w:sz w:val="32"/>
          <w:szCs w:val="32"/>
        </w:rPr>
        <w:t>3</w:t>
      </w:r>
      <w:r>
        <w:rPr>
          <w:rFonts w:hint="eastAsia" w:ascii="仿宋_GB2312" w:hAnsi="宋体" w:eastAsia="仿宋_GB2312" w:cs="仿宋_GB2312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22</w:t>
      </w:r>
      <w:r>
        <w:rPr>
          <w:rFonts w:hint="eastAsia" w:ascii="仿宋_GB2312" w:hAnsi="宋体" w:eastAsia="仿宋_GB2312" w:cs="仿宋_GB2312"/>
          <w:sz w:val="32"/>
          <w:szCs w:val="32"/>
        </w:rPr>
        <w:t>日</w:t>
      </w:r>
    </w:p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 w:line="500" w:lineRule="atLeast"/>
        <w:ind w:right="968"/>
        <w:jc w:val="righ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00" w:lineRule="atLeast"/>
        <w:ind w:left="0" w:right="0"/>
        <w:jc w:val="left"/>
      </w:pPr>
      <w:r>
        <w:rPr>
          <w:rFonts w:ascii="黑体" w:hAnsi="宋体" w:eastAsia="黑体" w:cs="黑体"/>
          <w:sz w:val="21"/>
          <w:szCs w:val="21"/>
        </w:rPr>
        <w:t> </w:t>
      </w:r>
      <w:r>
        <w:rPr>
          <w:rFonts w:hint="eastAsia" w:ascii="仿宋_GB2312" w:eastAsia="仿宋_GB2312" w:cs="仿宋_GB2312"/>
          <w:sz w:val="21"/>
          <w:szCs w:val="21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00" w:lineRule="atLeast"/>
        <w:ind w:left="0" w:right="0"/>
        <w:jc w:val="left"/>
      </w:pPr>
      <w:r>
        <w:rPr>
          <w:rFonts w:hint="eastAsia" w:ascii="仿宋_GB2312" w:eastAsia="仿宋_GB2312" w:cs="仿宋_GB2312"/>
          <w:sz w:val="28"/>
          <w:szCs w:val="28"/>
        </w:rPr>
        <w:t>  抄送：局环评处、执法监察支队，越秀区、天河区环保局。</w:t>
      </w:r>
    </w:p>
    <w:p/>
    <w:sectPr>
      <w:pgSz w:w="11906" w:h="16838"/>
      <w:pgMar w:top="1440" w:right="1800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E64509"/>
    <w:rsid w:val="20E64509"/>
    <w:rsid w:val="268D0943"/>
    <w:rsid w:val="5B74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2019-01-30T08:58:00Z</dcterms:created>
  <dc:creator>黄文宇</dc:creator>
  <cp:lastModifiedBy>黄文宇</cp:lastModifiedBy>
  <dcterms:modified xsi:type="dcterms:W3CDTF">2019-01-30T08:59:25Z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