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34</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穗环法罚〔2017〕34号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南方医科大学珠江医院行政处罚案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8月16日、9月5日调查发现，当事人建设的珠江医院第二期师团经济适用房建设项目环评文件于2009年3月2日经我局穗环管影〔2009〕48号文批复同意，于2013年4月部分投入使用。该项目已建成需配套建设的污水处理设施，水泵、风机、变压器等设备设置减振、消声装置，垃圾收集点独立封闭，但至今未完成该建设项目投用部分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南方医科大学珠江医院</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124400007256275000</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王前</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2017/3/15</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2017/3/15</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穗环法罚〔2017〕34号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南方医科大学珠江医院</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124400007256275054</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广州市工业大道中253号</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16</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9</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5</w:t>
      </w:r>
      <w:r>
        <w:rPr>
          <w:rFonts w:hint="eastAsia" w:ascii="仿宋_GB2312" w:hAnsi="宋体" w:eastAsia="仿宋_GB2312" w:cs="仿宋_GB2312"/>
          <w:sz w:val="32"/>
          <w:szCs w:val="32"/>
        </w:rPr>
        <w:t>日调查发现，当事人建设的珠江医院第二期师团经济适用房建设项目环评文件于</w:t>
      </w:r>
      <w:r>
        <w:rPr>
          <w:rFonts w:hint="default" w:ascii="Times New Roman" w:hAnsi="Times New Roman" w:eastAsia="仿宋_GB2312" w:cs="Times New Roman"/>
          <w:sz w:val="32"/>
          <w:szCs w:val="32"/>
        </w:rPr>
        <w:t>2009</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日经我局穗环管影〔</w:t>
      </w:r>
      <w:r>
        <w:rPr>
          <w:rFonts w:hint="default" w:ascii="Times New Roman" w:hAnsi="Times New Roman" w:eastAsia="仿宋_GB2312" w:cs="Times New Roman"/>
          <w:sz w:val="32"/>
          <w:szCs w:val="32"/>
        </w:rPr>
        <w:t>2009</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48</w:t>
      </w:r>
      <w:r>
        <w:rPr>
          <w:rFonts w:hint="eastAsia" w:ascii="仿宋_GB2312" w:hAnsi="宋体" w:eastAsia="仿宋_GB2312" w:cs="仿宋_GB2312"/>
          <w:sz w:val="32"/>
          <w:szCs w:val="32"/>
        </w:rPr>
        <w:t>号文批复同意，于</w:t>
      </w:r>
      <w:r>
        <w:rPr>
          <w:rFonts w:hint="default" w:ascii="Times New Roman" w:hAnsi="Times New Roman" w:eastAsia="仿宋_GB2312" w:cs="Times New Roman"/>
          <w:sz w:val="32"/>
          <w:szCs w:val="32"/>
        </w:rPr>
        <w:t>2013</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月部分投入使用。该项目已建成需配套建设的污水处理设施，水泵、风机、变压器等设备设置减振、消声装置，垃圾收集点独立封闭，但至今未完成该建设项目投用部分需配套建设的环境保护设施竣工验收手续。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8</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158</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26</w:t>
      </w:r>
      <w:r>
        <w:rPr>
          <w:rFonts w:hint="eastAsia" w:ascii="仿宋_GB2312" w:hAnsi="Times New Roman" w:eastAsia="仿宋_GB2312" w:cs="仿宋_GB2312"/>
          <w:sz w:val="32"/>
          <w:szCs w:val="32"/>
        </w:rPr>
        <w:t>日送达</w:t>
      </w:r>
      <w:r>
        <w:rPr>
          <w:rFonts w:hint="eastAsia" w:ascii="仿宋_GB2312" w:hAnsi="宋体" w:eastAsia="仿宋_GB2312" w:cs="仿宋_GB2312"/>
          <w:sz w:val="32"/>
          <w:szCs w:val="32"/>
        </w:rPr>
        <w:t>当事人。当事人于2016年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28</w:t>
      </w:r>
      <w:r>
        <w:rPr>
          <w:rFonts w:hint="eastAsia" w:ascii="仿宋_GB2312" w:hAnsi="宋体" w:eastAsia="仿宋_GB2312" w:cs="仿宋_GB2312"/>
          <w:sz w:val="32"/>
          <w:szCs w:val="32"/>
        </w:rPr>
        <w:t>日提交书面申辩意见如下：因未办理规划验收，所以至今未办理项目的环保验收手续；施工建设和后期的设施设备维护，各项环保指标都是严格按照批复和要求控制的；已开展环评验收申请事宜。经审理，当事人确实存在未验先投的违法行为。</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4万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32"/>
          <w:szCs w:val="32"/>
        </w:rPr>
        <w:t>  抄送：局环评处、执法监察支队，海珠区环保局。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57545"/>
    <w:rsid w:val="06257545"/>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2019-01-30T08:57:00Z</dcterms:created>
  <dc:creator>黄文宇</dc:creator>
  <cp:lastModifiedBy>黄文宇</cp:lastModifiedBy>
  <dcterms:modified xsi:type="dcterms:W3CDTF">2019-01-30T08:57:29Z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