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sz w:val="24"/>
          <w:szCs w:val="24"/>
        </w:rPr>
        <w:t> </w:t>
      </w:r>
      <w:bookmarkStart w:id="0" w:name="_GoBack"/>
      <w:r>
        <w:rPr>
          <w:rFonts w:ascii="宋体" w:hAnsi="宋体" w:eastAsia="宋体" w:cs="宋体"/>
          <w:b/>
          <w:bCs/>
          <w:color w:val="102401"/>
          <w:kern w:val="0"/>
          <w:sz w:val="32"/>
          <w:szCs w:val="32"/>
        </w:rPr>
        <w:t>穗环法罚〔2017〕</w:t>
      </w:r>
      <w:r>
        <w:rPr>
          <w:rFonts w:hint="eastAsia" w:ascii="宋体" w:hAnsi="宋体" w:eastAsia="宋体" w:cs="宋体"/>
          <w:b/>
          <w:bCs/>
          <w:color w:val="102401"/>
          <w:kern w:val="0"/>
          <w:sz w:val="32"/>
          <w:szCs w:val="32"/>
          <w:lang w:val="en-US" w:eastAsia="zh-CN"/>
        </w:rPr>
        <w:t>30</w:t>
      </w:r>
      <w:r>
        <w:rPr>
          <w:rFonts w:ascii="宋体" w:hAnsi="宋体" w:eastAsia="宋体" w:cs="宋体"/>
          <w:b/>
          <w:bCs/>
          <w:color w:val="102401"/>
          <w:kern w:val="0"/>
          <w:sz w:val="32"/>
          <w:szCs w:val="32"/>
        </w:rPr>
        <w:t>号</w:t>
      </w:r>
      <w:bookmarkEnd w:id="0"/>
    </w:p>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xml:space="preserve">       </w:t>
      </w:r>
    </w:p>
    <w:tbl>
      <w:tblPr>
        <w:tblW w:w="8568" w:type="dxa"/>
        <w:jc w:val="center"/>
        <w:tblInd w:w="0" w:type="dxa"/>
        <w:shd w:val="clear"/>
        <w:tblLayout w:type="fixed"/>
        <w:tblCellMar>
          <w:top w:w="0" w:type="dxa"/>
          <w:left w:w="108" w:type="dxa"/>
          <w:bottom w:w="0" w:type="dxa"/>
          <w:right w:w="108" w:type="dxa"/>
        </w:tblCellMar>
      </w:tblPr>
      <w:tblGrid>
        <w:gridCol w:w="1908"/>
        <w:gridCol w:w="1620"/>
        <w:gridCol w:w="1440"/>
        <w:gridCol w:w="1080"/>
        <w:gridCol w:w="1080"/>
        <w:gridCol w:w="1440"/>
      </w:tblGrid>
      <w:tr>
        <w:tblPrEx>
          <w:shd w:val="clear"/>
          <w:tblLayout w:type="fixed"/>
          <w:tblCellMar>
            <w:top w:w="0" w:type="dxa"/>
            <w:left w:w="108" w:type="dxa"/>
            <w:bottom w:w="0" w:type="dxa"/>
            <w:right w:w="108" w:type="dxa"/>
          </w:tblCellMar>
        </w:tblPrEx>
        <w:trPr>
          <w:trHeight w:val="285" w:hRule="atLeast"/>
          <w:jc w:val="center"/>
        </w:trPr>
        <w:tc>
          <w:tcPr>
            <w:tcW w:w="1908" w:type="dxa"/>
            <w:tcBorders>
              <w:top w:val="single" w:color="auto" w:sz="4" w:space="0"/>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行政处罚决定文书号:</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穗环法罚〔2017〕30号</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广东南方碱业股份有限公司行政处罚案</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处罚类别:</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罚款</w:t>
            </w:r>
          </w:p>
        </w:tc>
      </w:tr>
      <w:tr>
        <w:tblPrEx>
          <w:tblLayout w:type="fixed"/>
          <w:tblCellMar>
            <w:top w:w="0" w:type="dxa"/>
            <w:left w:w="108" w:type="dxa"/>
            <w:bottom w:w="0" w:type="dxa"/>
            <w:right w:w="108" w:type="dxa"/>
          </w:tblCellMar>
        </w:tblPrEx>
        <w:trPr>
          <w:trHeight w:val="276"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处罚事由:</w:t>
            </w:r>
          </w:p>
        </w:tc>
        <w:tc>
          <w:tcPr>
            <w:tcW w:w="6660" w:type="dxa"/>
            <w:gridSpan w:val="5"/>
            <w:tcBorders>
              <w:top w:val="single" w:color="auto" w:sz="4" w:space="0"/>
              <w:left w:val="nil"/>
              <w:bottom w:val="single" w:color="auto" w:sz="4" w:space="0"/>
              <w:right w:val="single" w:color="000000"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经我局执法监察支队2016年12月14日、15日、17日、21日调查发现，当事人自2016年8月至12月期间，先后通过在生产废水排放管道内设置不锈钢管和外部加装冷凝水管两种方式，将河水、冷凝水替代生产废水接入废水在线监控分析仪和生产废水采样口，以逃避监管的方式违法排放水污染物。</w:t>
            </w:r>
          </w:p>
        </w:tc>
      </w:tr>
      <w:tr>
        <w:tblPrEx>
          <w:tblLayout w:type="fixed"/>
          <w:tblCellMar>
            <w:top w:w="0" w:type="dxa"/>
            <w:left w:w="108" w:type="dxa"/>
            <w:bottom w:w="0" w:type="dxa"/>
            <w:right w:w="108" w:type="dxa"/>
          </w:tblCellMar>
        </w:tblPrEx>
        <w:trPr>
          <w:trHeight w:val="347"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处罚依据:</w:t>
            </w:r>
          </w:p>
        </w:tc>
        <w:tc>
          <w:tcPr>
            <w:tcW w:w="6660" w:type="dxa"/>
            <w:gridSpan w:val="5"/>
            <w:tcBorders>
              <w:top w:val="single" w:color="auto" w:sz="4" w:space="0"/>
              <w:left w:val="nil"/>
              <w:bottom w:val="single" w:color="auto" w:sz="4" w:space="0"/>
              <w:right w:val="single" w:color="auto" w:sz="4" w:space="0"/>
            </w:tcBorders>
            <w:shd w:val="clear"/>
            <w:vAlign w:val="center"/>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依据《广东省环境保护条例》第七十条、《污染源自动监控设施现场监督检查办法》第二十条第（五）项、《中华人民共和国水污染防治法》第七十条和《广东省环境保护厅关于&lt;广东省环境保护条例&gt;的环境行政处罚自由裁量权裁量标准》第15点第5项规定</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处罚结果:</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责令立即改正以逃避监管的方式排放水污染物的违法行为，并处罚款10万元。</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行政相对人名称:</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广东南方碱业股份有限公司</w:t>
            </w:r>
          </w:p>
        </w:tc>
      </w:tr>
      <w:tr>
        <w:tblPrEx>
          <w:tblLayout w:type="fixed"/>
          <w:tblCellMar>
            <w:top w:w="0" w:type="dxa"/>
            <w:left w:w="108" w:type="dxa"/>
            <w:bottom w:w="0" w:type="dxa"/>
            <w:right w:w="108" w:type="dxa"/>
          </w:tblCellMar>
        </w:tblPrEx>
        <w:trPr>
          <w:trHeight w:val="547" w:hRule="atLeast"/>
          <w:jc w:val="center"/>
        </w:trPr>
        <w:tc>
          <w:tcPr>
            <w:tcW w:w="1908" w:type="dxa"/>
            <w:vMerge w:val="restart"/>
            <w:tcBorders>
              <w:top w:val="nil"/>
              <w:left w:val="single" w:color="auto" w:sz="4" w:space="0"/>
              <w:bottom w:val="single" w:color="000000" w:sz="4" w:space="0"/>
              <w:right w:val="single" w:color="auto" w:sz="4" w:space="0"/>
            </w:tcBorders>
            <w:shd w:val="clear"/>
            <w:vAlign w:val="center"/>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行政相对人代码:</w:t>
            </w:r>
          </w:p>
        </w:tc>
        <w:tc>
          <w:tcPr>
            <w:tcW w:w="162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统一社会信用代码</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组织机构代码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工商登记码</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税务登记号</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center"/>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居民身份证号码</w:t>
            </w:r>
          </w:p>
        </w:tc>
      </w:tr>
      <w:tr>
        <w:tblPrEx>
          <w:tblLayout w:type="fixed"/>
          <w:tblCellMar>
            <w:top w:w="0" w:type="dxa"/>
            <w:left w:w="108" w:type="dxa"/>
            <w:bottom w:w="0" w:type="dxa"/>
            <w:right w:w="108" w:type="dxa"/>
          </w:tblCellMar>
        </w:tblPrEx>
        <w:trPr>
          <w:trHeight w:val="371" w:hRule="atLeast"/>
          <w:jc w:val="center"/>
        </w:trPr>
        <w:tc>
          <w:tcPr>
            <w:tcW w:w="1908" w:type="dxa"/>
            <w:vMerge w:val="continue"/>
            <w:tcBorders>
              <w:top w:val="nil"/>
              <w:left w:val="single" w:color="auto" w:sz="4" w:space="0"/>
              <w:bottom w:val="single" w:color="000000" w:sz="4" w:space="0"/>
              <w:right w:val="single" w:color="auto" w:sz="4" w:space="0"/>
            </w:tcBorders>
            <w:shd w:val="clear"/>
            <w:vAlign w:val="center"/>
          </w:tcPr>
          <w:p>
            <w:pPr>
              <w:rPr>
                <w:rFonts w:hint="eastAsia" w:ascii="宋体" w:hAnsi="宋体" w:eastAsia="宋体" w:cs="宋体"/>
                <w:sz w:val="24"/>
                <w:szCs w:val="24"/>
              </w:rPr>
            </w:pPr>
          </w:p>
        </w:tc>
        <w:tc>
          <w:tcPr>
            <w:tcW w:w="1620" w:type="dxa"/>
            <w:tcBorders>
              <w:top w:val="nil"/>
              <w:left w:val="nil"/>
              <w:bottom w:val="single" w:color="auto" w:sz="4" w:space="0"/>
              <w:right w:val="single" w:color="auto" w:sz="4" w:space="0"/>
            </w:tcBorders>
            <w:shd w:val="clear"/>
            <w:vAlign w:val="bottom"/>
          </w:tcPr>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bdr w:val="none" w:color="auto" w:sz="0" w:space="0"/>
                <w:lang w:val="en-US" w:eastAsia="zh-CN" w:bidi="ar"/>
              </w:rPr>
              <w:t>914401016184241636</w:t>
            </w:r>
          </w:p>
        </w:tc>
        <w:tc>
          <w:tcPr>
            <w:tcW w:w="1440" w:type="dxa"/>
            <w:tcBorders>
              <w:top w:val="nil"/>
              <w:left w:val="nil"/>
              <w:bottom w:val="single" w:color="auto" w:sz="4" w:space="0"/>
              <w:right w:val="single" w:color="auto" w:sz="4" w:space="0"/>
            </w:tcBorders>
            <w:shd w:val="clear"/>
            <w:vAlign w:val="bottom"/>
          </w:tcPr>
          <w:p>
            <w:pPr>
              <w:rPr>
                <w:rFonts w:hint="eastAsia" w:ascii="宋体" w:hAnsi="宋体" w:eastAsia="宋体" w:cs="宋体"/>
                <w:sz w:val="24"/>
                <w:szCs w:val="24"/>
              </w:rPr>
            </w:pP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08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c>
          <w:tcPr>
            <w:tcW w:w="1440" w:type="dxa"/>
            <w:tcBorders>
              <w:top w:val="nil"/>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法人代表姓名:</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王晓林</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处罚决定日期:</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2017/3/10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处罚机关:</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广州市环境保护局</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地方编码:</w:t>
            </w:r>
          </w:p>
        </w:tc>
        <w:tc>
          <w:tcPr>
            <w:tcW w:w="6660" w:type="dxa"/>
            <w:gridSpan w:val="5"/>
            <w:tcBorders>
              <w:top w:val="single" w:color="auto" w:sz="4" w:space="0"/>
              <w:left w:val="nil"/>
              <w:bottom w:val="single" w:color="auto" w:sz="4" w:space="0"/>
              <w:right w:val="single" w:color="000000"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400100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当前状态:</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正常</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sz w:val="24"/>
                <w:szCs w:val="24"/>
                <w:bdr w:val="none" w:color="auto" w:sz="0" w:space="0"/>
              </w:rPr>
              <w:t>数据更新时间戳</w:t>
            </w:r>
            <w:r>
              <w:rPr>
                <w:rFonts w:hint="eastAsia" w:ascii="宋体" w:hAnsi="宋体" w:eastAsia="宋体" w:cs="宋体"/>
                <w:b/>
                <w:bCs w:val="0"/>
                <w:sz w:val="24"/>
                <w:szCs w:val="24"/>
                <w:bdr w:val="none" w:color="auto" w:sz="0" w:space="0"/>
              </w:rPr>
              <w:t>:</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2017/3/10</w:t>
            </w:r>
          </w:p>
        </w:tc>
      </w:tr>
      <w:tr>
        <w:tblPrEx>
          <w:tblLayout w:type="fixed"/>
          <w:tblCellMar>
            <w:top w:w="0" w:type="dxa"/>
            <w:left w:w="108" w:type="dxa"/>
            <w:bottom w:w="0" w:type="dxa"/>
            <w:right w:w="108" w:type="dxa"/>
          </w:tblCellMar>
        </w:tblPrEx>
        <w:trPr>
          <w:trHeight w:val="285" w:hRule="atLeast"/>
          <w:jc w:val="center"/>
        </w:trPr>
        <w:tc>
          <w:tcPr>
            <w:tcW w:w="1908" w:type="dxa"/>
            <w:tcBorders>
              <w:top w:val="nil"/>
              <w:left w:val="single" w:color="auto" w:sz="4" w:space="0"/>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right"/>
              <w:rPr>
                <w:rFonts w:hint="eastAsia" w:ascii="宋体" w:hAnsi="宋体" w:eastAsia="宋体" w:cs="宋体"/>
                <w:sz w:val="24"/>
                <w:szCs w:val="24"/>
              </w:rPr>
            </w:pPr>
            <w:r>
              <w:rPr>
                <w:rFonts w:hint="eastAsia" w:ascii="宋体" w:hAnsi="宋体" w:eastAsia="宋体" w:cs="宋体"/>
                <w:b/>
                <w:bCs w:val="0"/>
                <w:sz w:val="24"/>
                <w:szCs w:val="24"/>
                <w:bdr w:val="none" w:color="auto" w:sz="0" w:space="0"/>
              </w:rPr>
              <w:t>备注:</w:t>
            </w:r>
          </w:p>
        </w:tc>
        <w:tc>
          <w:tcPr>
            <w:tcW w:w="6660" w:type="dxa"/>
            <w:gridSpan w:val="5"/>
            <w:tcBorders>
              <w:top w:val="single" w:color="auto" w:sz="4" w:space="0"/>
              <w:left w:val="nil"/>
              <w:bottom w:val="single" w:color="auto" w:sz="4" w:space="0"/>
              <w:right w:val="single" w:color="auto" w:sz="4" w:space="0"/>
            </w:tcBorders>
            <w:shd w:val="clear"/>
            <w:vAlign w:val="bottom"/>
          </w:tcPr>
          <w:p>
            <w:pPr>
              <w:pStyle w:val="2"/>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sz w:val="24"/>
                <w:szCs w:val="24"/>
                <w:bdr w:val="none" w:color="auto" w:sz="0" w:space="0"/>
              </w:rPr>
              <w:t> </w:t>
            </w:r>
          </w:p>
        </w:tc>
      </w:tr>
    </w:tbl>
    <w:p>
      <w:pPr>
        <w:pStyle w:val="2"/>
        <w:keepNext w:val="0"/>
        <w:keepLines w:val="0"/>
        <w:widowControl/>
        <w:suppressLineNumbers w:val="0"/>
        <w:spacing w:before="0" w:beforeAutospacing="0" w:after="0" w:afterAutospacing="0" w:line="15" w:lineRule="atLeast"/>
        <w:ind w:left="0" w:right="0"/>
        <w:rPr>
          <w:rFonts w:hint="eastAsia" w:ascii="宋体" w:hAnsi="宋体" w:eastAsia="宋体" w:cs="宋体"/>
          <w:sz w:val="24"/>
          <w:szCs w:val="24"/>
        </w:rPr>
      </w:pPr>
      <w:r>
        <w:rPr>
          <w:rFonts w:hint="eastAsia" w:ascii="宋体" w:hAnsi="宋体" w:eastAsia="宋体" w:cs="宋体"/>
          <w:sz w:val="24"/>
          <w:szCs w:val="24"/>
        </w:rPr>
        <w:t>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 xml:space="preserve">   </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32"/>
          <w:szCs w:val="32"/>
        </w:rPr>
      </w:pPr>
      <w:r>
        <w:rPr>
          <w:rStyle w:val="4"/>
          <w:rFonts w:hint="eastAsia" w:ascii="宋体" w:hAnsi="宋体" w:eastAsia="宋体" w:cs="宋体"/>
          <w:kern w:val="0"/>
          <w:sz w:val="32"/>
          <w:szCs w:val="32"/>
          <w:lang w:val="en-US" w:eastAsia="zh-CN" w:bidi="ar"/>
        </w:rPr>
        <w:t>全文信息</w:t>
      </w:r>
    </w:p>
    <w:p>
      <w:pPr>
        <w:keepNext w:val="0"/>
        <w:keepLines w:val="0"/>
        <w:widowControl/>
        <w:suppressLineNumbers w:val="0"/>
        <w:spacing w:before="0" w:beforeAutospacing="0" w:after="0" w:afterAutospacing="0" w:line="15" w:lineRule="atLeast"/>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ascii="方正小标宋简体" w:hAnsi="方正小标宋简体" w:eastAsia="方正小标宋简体" w:cs="方正小标宋简体"/>
          <w:b/>
          <w:bCs w:val="0"/>
          <w:sz w:val="44"/>
          <w:szCs w:val="44"/>
        </w:rPr>
        <w:t>行政处罚决定书</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24"/>
          <w:szCs w:val="24"/>
        </w:rPr>
      </w:pPr>
      <w:r>
        <w:rPr>
          <w:rFonts w:hint="eastAsia" w:ascii="宋体" w:hAnsi="宋体" w:eastAsia="宋体" w:cs="宋体"/>
          <w:snapToGrid w:val="0"/>
          <w:sz w:val="24"/>
          <w:szCs w:val="24"/>
        </w:rPr>
        <w:t> </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z w:val="30"/>
          <w:szCs w:val="30"/>
        </w:rPr>
        <w:t>穗环法罚〔2017〕30号</w:t>
      </w:r>
    </w:p>
    <w:p>
      <w:pPr>
        <w:pStyle w:val="2"/>
        <w:keepNext w:val="0"/>
        <w:keepLines w:val="0"/>
        <w:widowControl/>
        <w:suppressLineNumbers w:val="0"/>
        <w:snapToGrid w:val="0"/>
        <w:spacing w:before="0" w:beforeAutospacing="0" w:after="0" w:afterAutospacing="0" w:line="560" w:lineRule="atLeast"/>
        <w:jc w:val="center"/>
        <w:rPr>
          <w:rFonts w:hint="eastAsia" w:ascii="宋体" w:hAnsi="宋体" w:eastAsia="宋体" w:cs="宋体"/>
          <w:sz w:val="30"/>
          <w:szCs w:val="30"/>
        </w:rPr>
      </w:pPr>
      <w:r>
        <w:rPr>
          <w:rFonts w:hint="eastAsia" w:ascii="宋体" w:hAnsi="宋体" w:eastAsia="宋体" w:cs="宋体"/>
          <w:snapToGrid w:val="0"/>
          <w:sz w:val="30"/>
          <w:szCs w:val="30"/>
        </w:rPr>
        <w:t> </w:t>
      </w:r>
    </w:p>
    <w:p>
      <w:pPr>
        <w:pStyle w:val="2"/>
        <w:keepNext w:val="0"/>
        <w:keepLines w:val="0"/>
        <w:widowControl/>
        <w:suppressLineNumbers w:val="0"/>
        <w:spacing w:before="0" w:beforeAutospacing="0" w:after="0" w:afterAutospacing="0" w:line="560" w:lineRule="atLeast"/>
        <w:rPr>
          <w:rFonts w:hint="eastAsia" w:ascii="宋体" w:hAnsi="宋体" w:eastAsia="宋体" w:cs="宋体"/>
          <w:sz w:val="24"/>
          <w:szCs w:val="24"/>
        </w:rPr>
      </w:pPr>
      <w:r>
        <w:rPr>
          <w:rFonts w:ascii="仿宋_GB2312" w:hAnsi="宋体" w:eastAsia="仿宋_GB2312" w:cs="仿宋_GB2312"/>
          <w:sz w:val="32"/>
          <w:szCs w:val="32"/>
        </w:rPr>
        <w:t>当事人：广东南方碱业股份有限公司</w:t>
      </w:r>
    </w:p>
    <w:p>
      <w:pPr>
        <w:pStyle w:val="2"/>
        <w:keepNext w:val="0"/>
        <w:keepLines w:val="0"/>
        <w:widowControl/>
        <w:suppressLineNumbers w:val="0"/>
        <w:spacing w:before="0" w:beforeAutospacing="0" w:after="0" w:afterAutospacing="0" w:line="560" w:lineRule="atLeast"/>
        <w:rPr>
          <w:rFonts w:hint="eastAsia" w:ascii="宋体" w:hAnsi="宋体" w:eastAsia="宋体" w:cs="宋体"/>
          <w:sz w:val="24"/>
          <w:szCs w:val="24"/>
        </w:rPr>
      </w:pPr>
      <w:r>
        <w:rPr>
          <w:rFonts w:hint="eastAsia" w:ascii="仿宋_GB2312" w:hAnsi="宋体" w:eastAsia="仿宋_GB2312" w:cs="仿宋_GB2312"/>
          <w:sz w:val="32"/>
          <w:szCs w:val="32"/>
        </w:rPr>
        <w:t>统一社会信用代码：914401016184241636</w:t>
      </w:r>
    </w:p>
    <w:p>
      <w:pPr>
        <w:pStyle w:val="2"/>
        <w:keepNext w:val="0"/>
        <w:keepLines w:val="0"/>
        <w:widowControl/>
        <w:suppressLineNumbers w:val="0"/>
        <w:spacing w:before="0" w:beforeAutospacing="0" w:after="0" w:afterAutospacing="0" w:line="560" w:lineRule="atLeast"/>
        <w:ind w:left="1280" w:hanging="1280"/>
        <w:rPr>
          <w:rFonts w:hint="eastAsia" w:ascii="宋体" w:hAnsi="宋体" w:eastAsia="宋体" w:cs="宋体"/>
          <w:sz w:val="24"/>
          <w:szCs w:val="24"/>
        </w:rPr>
      </w:pPr>
      <w:r>
        <w:rPr>
          <w:rFonts w:hint="eastAsia" w:ascii="仿宋_GB2312" w:hAnsi="宋体" w:eastAsia="仿宋_GB2312" w:cs="仿宋_GB2312"/>
          <w:sz w:val="32"/>
          <w:szCs w:val="32"/>
        </w:rPr>
        <w:t>地</w:t>
      </w:r>
      <w:r>
        <w:rPr>
          <w:rFonts w:hint="default" w:ascii="Times New Roman" w:hAnsi="Times New Roman" w:eastAsia="宋体" w:cs="Times New Roman"/>
          <w:sz w:val="32"/>
          <w:szCs w:val="32"/>
        </w:rPr>
        <w:t>  </w:t>
      </w:r>
      <w:r>
        <w:rPr>
          <w:rFonts w:hint="eastAsia" w:ascii="仿宋_GB2312" w:hAnsi="宋体" w:eastAsia="仿宋_GB2312" w:cs="仿宋_GB2312"/>
          <w:sz w:val="32"/>
          <w:szCs w:val="32"/>
        </w:rPr>
        <w:t>址：广州市黄埔区南岗西路488号</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Times New Roman" w:eastAsia="仿宋_GB2312" w:cs="仿宋_GB2312"/>
          <w:sz w:val="32"/>
          <w:szCs w:val="32"/>
        </w:rPr>
        <w:t>经</w:t>
      </w:r>
      <w:r>
        <w:rPr>
          <w:rFonts w:hint="eastAsia" w:ascii="仿宋_GB2312" w:hAnsi="宋体" w:eastAsia="仿宋_GB2312" w:cs="仿宋_GB2312"/>
          <w:sz w:val="32"/>
          <w:szCs w:val="32"/>
        </w:rPr>
        <w:t>我局执法监察支队2016年</w:t>
      </w:r>
      <w:r>
        <w:rPr>
          <w:rFonts w:hint="default" w:ascii="Times New Roman" w:hAnsi="Times New Roman" w:eastAsia="仿宋_GB2312" w:cs="Times New Roman"/>
          <w:sz w:val="32"/>
          <w:szCs w:val="32"/>
        </w:rPr>
        <w:t>12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14</w:t>
      </w:r>
      <w:r>
        <w:rPr>
          <w:rFonts w:hint="eastAsia" w:ascii="仿宋_GB2312" w:hAnsi="宋体" w:eastAsia="仿宋_GB2312" w:cs="仿宋_GB2312"/>
          <w:sz w:val="32"/>
          <w:szCs w:val="32"/>
        </w:rPr>
        <w:t>日、</w:t>
      </w:r>
      <w:r>
        <w:rPr>
          <w:rFonts w:hint="default" w:ascii="Times New Roman" w:hAnsi="Times New Roman" w:eastAsia="仿宋_GB2312" w:cs="Times New Roman"/>
          <w:sz w:val="32"/>
          <w:szCs w:val="32"/>
        </w:rPr>
        <w:t>15</w:t>
      </w:r>
      <w:r>
        <w:rPr>
          <w:rFonts w:hint="eastAsia" w:ascii="仿宋_GB2312" w:hAnsi="宋体" w:eastAsia="仿宋_GB2312" w:cs="仿宋_GB2312"/>
          <w:sz w:val="32"/>
          <w:szCs w:val="32"/>
        </w:rPr>
        <w:t>日、</w:t>
      </w:r>
      <w:r>
        <w:rPr>
          <w:rFonts w:hint="default" w:ascii="Times New Roman" w:hAnsi="Times New Roman" w:eastAsia="仿宋_GB2312" w:cs="Times New Roman"/>
          <w:sz w:val="32"/>
          <w:szCs w:val="32"/>
        </w:rPr>
        <w:t>17</w:t>
      </w:r>
      <w:r>
        <w:rPr>
          <w:rFonts w:hint="eastAsia" w:ascii="仿宋_GB2312" w:hAnsi="宋体" w:eastAsia="仿宋_GB2312" w:cs="仿宋_GB2312"/>
          <w:sz w:val="32"/>
          <w:szCs w:val="32"/>
        </w:rPr>
        <w:t>日、</w:t>
      </w:r>
      <w:r>
        <w:rPr>
          <w:rFonts w:hint="default" w:ascii="Times New Roman" w:hAnsi="Times New Roman" w:eastAsia="仿宋_GB2312" w:cs="Times New Roman"/>
          <w:sz w:val="32"/>
          <w:szCs w:val="32"/>
        </w:rPr>
        <w:t>21</w:t>
      </w:r>
      <w:r>
        <w:rPr>
          <w:rFonts w:hint="eastAsia" w:ascii="仿宋_GB2312" w:hAnsi="宋体" w:eastAsia="仿宋_GB2312" w:cs="仿宋_GB2312"/>
          <w:sz w:val="32"/>
          <w:szCs w:val="32"/>
        </w:rPr>
        <w:t>日调查发现</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当事人自2016年</w:t>
      </w:r>
      <w:r>
        <w:rPr>
          <w:rFonts w:hint="default" w:ascii="Times New Roman" w:hAnsi="Times New Roman" w:eastAsia="仿宋_GB2312" w:cs="Times New Roman"/>
          <w:sz w:val="32"/>
          <w:szCs w:val="32"/>
        </w:rPr>
        <w:t>8</w:t>
      </w:r>
      <w:r>
        <w:rPr>
          <w:rFonts w:hint="eastAsia" w:ascii="仿宋_GB2312" w:hAnsi="宋体" w:eastAsia="仿宋_GB2312" w:cs="仿宋_GB2312"/>
          <w:sz w:val="32"/>
          <w:szCs w:val="32"/>
        </w:rPr>
        <w:t>月至</w:t>
      </w:r>
      <w:r>
        <w:rPr>
          <w:rFonts w:hint="default" w:ascii="Times New Roman" w:hAnsi="Times New Roman" w:eastAsia="仿宋_GB2312" w:cs="Times New Roman"/>
          <w:sz w:val="32"/>
          <w:szCs w:val="32"/>
        </w:rPr>
        <w:t>12</w:t>
      </w:r>
      <w:r>
        <w:rPr>
          <w:rFonts w:hint="eastAsia" w:ascii="仿宋_GB2312" w:hAnsi="宋体" w:eastAsia="仿宋_GB2312" w:cs="仿宋_GB2312"/>
          <w:sz w:val="32"/>
          <w:szCs w:val="32"/>
        </w:rPr>
        <w:t>月期间，先后通过在生产废水排放管道内设置不锈钢管和外部加装冷凝水管两种方式，将河水、冷凝水替代生产废水接入废水在线监控分析仪和生产废水采样口，以逃避监管的方式违法排放水污染物。</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以上事实，有《现场检查笔录》、《询问笔录》、现场照片等证据为证。</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上述行为违反了《中华人民共和国环境保护法》第四十二条第四款、《广东省环境保护条例》</w:t>
      </w:r>
      <w:r>
        <w:rPr>
          <w:rFonts w:hint="eastAsia" w:ascii="仿宋_GB2312" w:hAnsi="Times New Roman" w:eastAsia="仿宋_GB2312" w:cs="仿宋_GB2312"/>
          <w:sz w:val="32"/>
          <w:szCs w:val="32"/>
        </w:rPr>
        <w:t>第</w:t>
      </w:r>
      <w:r>
        <w:rPr>
          <w:rFonts w:hint="eastAsia" w:ascii="仿宋_GB2312" w:hAnsi="宋体" w:eastAsia="仿宋_GB2312" w:cs="仿宋_GB2312"/>
          <w:sz w:val="32"/>
          <w:szCs w:val="32"/>
        </w:rPr>
        <w:t>二十六</w:t>
      </w:r>
      <w:r>
        <w:rPr>
          <w:rFonts w:hint="eastAsia" w:ascii="仿宋_GB2312" w:hAnsi="Times New Roman" w:eastAsia="仿宋_GB2312" w:cs="仿宋_GB2312"/>
          <w:sz w:val="32"/>
          <w:szCs w:val="32"/>
        </w:rPr>
        <w:t>条</w:t>
      </w:r>
      <w:r>
        <w:rPr>
          <w:rFonts w:hint="eastAsia" w:ascii="仿宋_GB2312" w:hAnsi="宋体" w:eastAsia="仿宋_GB2312" w:cs="仿宋_GB2312"/>
          <w:sz w:val="32"/>
          <w:szCs w:val="32"/>
        </w:rPr>
        <w:t>第二款和《污染源自动监控设施现场监督检查办法》第六条第二款</w:t>
      </w:r>
      <w:r>
        <w:rPr>
          <w:rFonts w:hint="eastAsia" w:ascii="仿宋_GB2312" w:hAnsi="Times New Roman" w:eastAsia="仿宋_GB2312" w:cs="仿宋_GB2312"/>
          <w:sz w:val="32"/>
          <w:szCs w:val="32"/>
        </w:rPr>
        <w:t>的规定</w:t>
      </w:r>
      <w:r>
        <w:rPr>
          <w:rFonts w:hint="eastAsia" w:ascii="仿宋_GB2312" w:hAnsi="宋体" w:eastAsia="仿宋_GB2312" w:cs="仿宋_GB2312"/>
          <w:sz w:val="32"/>
          <w:szCs w:val="32"/>
        </w:rPr>
        <w:t>。</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7年</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20</w:t>
      </w:r>
      <w:r>
        <w:rPr>
          <w:rFonts w:hint="eastAsia" w:ascii="仿宋_GB2312" w:hAnsi="宋体" w:eastAsia="仿宋_GB2312" w:cs="仿宋_GB2312"/>
          <w:sz w:val="32"/>
          <w:szCs w:val="32"/>
        </w:rPr>
        <w:t>日，我局作出《行政处罚听证告知书》（穗环法告〔</w:t>
      </w: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7〕</w:t>
      </w:r>
      <w:r>
        <w:rPr>
          <w:rFonts w:hint="default" w:ascii="Times New Roman" w:hAnsi="Times New Roman" w:eastAsia="仿宋_GB2312" w:cs="Times New Roman"/>
          <w:sz w:val="32"/>
          <w:szCs w:val="32"/>
        </w:rPr>
        <w:t>24</w:t>
      </w:r>
      <w:r>
        <w:rPr>
          <w:rFonts w:hint="eastAsia" w:ascii="仿宋_GB2312" w:hAnsi="宋体" w:eastAsia="仿宋_GB2312" w:cs="仿宋_GB2312"/>
          <w:sz w:val="32"/>
          <w:szCs w:val="32"/>
        </w:rPr>
        <w:t>号），并于同年</w:t>
      </w:r>
      <w:r>
        <w:rPr>
          <w:rFonts w:hint="default" w:ascii="Times New Roman" w:hAnsi="Times New Roman" w:eastAsia="仿宋_GB2312" w:cs="Times New Roman"/>
          <w:sz w:val="32"/>
          <w:szCs w:val="32"/>
        </w:rPr>
        <w:t>2</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21</w:t>
      </w:r>
      <w:r>
        <w:rPr>
          <w:rFonts w:hint="eastAsia" w:ascii="仿宋_GB2312" w:hAnsi="宋体" w:eastAsia="仿宋_GB2312" w:cs="仿宋_GB2312"/>
          <w:sz w:val="32"/>
          <w:szCs w:val="32"/>
        </w:rPr>
        <w:t>日送达当事人。当事人未在有效期限内向我局提交书面陈述申辩意见或提出听证申请。现本案经我局审查结束。</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我局</w:t>
      </w:r>
      <w:r>
        <w:rPr>
          <w:rFonts w:hint="eastAsia" w:ascii="仿宋_GB2312" w:hAnsi="Times New Roman" w:eastAsia="仿宋_GB2312" w:cs="仿宋_GB2312"/>
          <w:sz w:val="32"/>
          <w:szCs w:val="32"/>
        </w:rPr>
        <w:t>依据</w:t>
      </w:r>
      <w:r>
        <w:rPr>
          <w:rFonts w:hint="eastAsia" w:ascii="仿宋_GB2312" w:hAnsi="宋体" w:eastAsia="仿宋_GB2312" w:cs="仿宋_GB2312"/>
          <w:sz w:val="32"/>
          <w:szCs w:val="32"/>
        </w:rPr>
        <w:t>《广东省环境保护条例》第七十条、《污染源自动监控设施现场监督检查办法》第二十条第（五）项、《中华人民共和国水污染防治法》第七十条和《广东省环境保护厅关于&lt;广东省环境保护条例</w:t>
      </w:r>
      <w:r>
        <w:rPr>
          <w:rFonts w:hint="default" w:ascii="Times New Roman" w:hAnsi="Times New Roman" w:eastAsia="仿宋_GB2312" w:cs="Times New Roman"/>
          <w:sz w:val="32"/>
          <w:szCs w:val="32"/>
        </w:rPr>
        <w:t>&gt;</w:t>
      </w:r>
      <w:r>
        <w:rPr>
          <w:rFonts w:hint="eastAsia" w:ascii="仿宋_GB2312" w:hAnsi="宋体" w:eastAsia="仿宋_GB2312" w:cs="仿宋_GB2312"/>
          <w:sz w:val="32"/>
          <w:szCs w:val="32"/>
        </w:rPr>
        <w:t>的环境行政处罚自由裁量权裁量标准》第15点第5项</w:t>
      </w:r>
      <w:r>
        <w:rPr>
          <w:rFonts w:hint="eastAsia" w:ascii="仿宋_GB2312" w:hAnsi="Times New Roman" w:eastAsia="仿宋_GB2312" w:cs="仿宋_GB2312"/>
          <w:sz w:val="32"/>
          <w:szCs w:val="32"/>
        </w:rPr>
        <w:t>规定，责令</w:t>
      </w:r>
      <w:r>
        <w:rPr>
          <w:rFonts w:hint="eastAsia" w:ascii="仿宋_GB2312" w:hAnsi="宋体" w:eastAsia="仿宋_GB2312" w:cs="仿宋_GB2312"/>
          <w:sz w:val="32"/>
          <w:szCs w:val="32"/>
        </w:rPr>
        <w:t>当事人</w:t>
      </w:r>
      <w:r>
        <w:rPr>
          <w:rFonts w:hint="eastAsia" w:ascii="仿宋_GB2312" w:hAnsi="Times New Roman" w:eastAsia="仿宋_GB2312" w:cs="仿宋_GB2312"/>
          <w:sz w:val="32"/>
          <w:szCs w:val="32"/>
        </w:rPr>
        <w:t>立即</w:t>
      </w:r>
      <w:r>
        <w:rPr>
          <w:rFonts w:hint="eastAsia" w:ascii="仿宋_GB2312" w:hAnsi="宋体" w:eastAsia="仿宋_GB2312" w:cs="仿宋_GB2312"/>
          <w:sz w:val="32"/>
          <w:szCs w:val="32"/>
        </w:rPr>
        <w:t>改正以逃避监管的方式排放水污染物的违法行为</w:t>
      </w:r>
      <w:r>
        <w:rPr>
          <w:rFonts w:hint="eastAsia" w:ascii="仿宋_GB2312" w:hAnsi="Times New Roman" w:eastAsia="仿宋_GB2312" w:cs="仿宋_GB2312"/>
          <w:sz w:val="32"/>
          <w:szCs w:val="32"/>
        </w:rPr>
        <w:t>，</w:t>
      </w:r>
      <w:r>
        <w:rPr>
          <w:rFonts w:hint="eastAsia" w:ascii="仿宋_GB2312" w:hAnsi="宋体" w:eastAsia="仿宋_GB2312" w:cs="仿宋_GB2312"/>
          <w:sz w:val="32"/>
          <w:szCs w:val="32"/>
        </w:rPr>
        <w:t>并作出处罚决定如下：</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罚款10万元。</w:t>
      </w:r>
    </w:p>
    <w:p>
      <w:pPr>
        <w:pStyle w:val="2"/>
        <w:keepNext w:val="0"/>
        <w:keepLines w:val="0"/>
        <w:widowControl/>
        <w:suppressLineNumbers w:val="0"/>
        <w:spacing w:before="0" w:beforeAutospacing="0" w:after="0" w:afterAutospacing="0" w:line="560" w:lineRule="atLeast"/>
        <w:ind w:left="0" w:firstLine="640"/>
        <w:rPr>
          <w:rFonts w:hint="eastAsia" w:ascii="宋体" w:hAnsi="宋体" w:eastAsia="宋体" w:cs="宋体"/>
          <w:sz w:val="24"/>
          <w:szCs w:val="24"/>
        </w:rPr>
      </w:pPr>
      <w:r>
        <w:rPr>
          <w:rFonts w:hint="eastAsia" w:ascii="仿宋_GB2312" w:hAnsi="宋体" w:eastAsia="仿宋_GB2312" w:cs="仿宋_GB2312"/>
          <w:sz w:val="32"/>
          <w:szCs w:val="32"/>
        </w:rPr>
        <w:t>限当事人在收到本处罚决定书之日起</w:t>
      </w:r>
      <w:r>
        <w:rPr>
          <w:rFonts w:hint="default" w:ascii="Times New Roman" w:hAnsi="Times New Roman" w:eastAsia="宋体" w:cs="Times New Roman"/>
          <w:sz w:val="32"/>
          <w:szCs w:val="32"/>
        </w:rPr>
        <w:t>15</w:t>
      </w:r>
      <w:r>
        <w:rPr>
          <w:rFonts w:hint="eastAsia" w:ascii="仿宋_GB2312" w:hAnsi="宋体" w:eastAsia="仿宋_GB2312" w:cs="仿宋_GB2312"/>
          <w:sz w:val="32"/>
          <w:szCs w:val="32"/>
        </w:rPr>
        <w:t>日内，按照《广州市非税收入缴款通知书》的要求，将上述罚款缴到非税收入代收银行（工商银行、建设银行、广州银行、广州农村商业银行、中国银行、农业银行、邮政储蓄银行、交通银行、光大银行、中信银行、广发银行、浦发银行、华夏银行），收入项目编码：</w:t>
      </w:r>
      <w:r>
        <w:rPr>
          <w:rFonts w:hint="default" w:ascii="Times New Roman" w:hAnsi="Times New Roman" w:eastAsia="宋体" w:cs="Times New Roman"/>
          <w:sz w:val="32"/>
          <w:szCs w:val="32"/>
        </w:rPr>
        <w:t>3124</w:t>
      </w:r>
      <w:r>
        <w:rPr>
          <w:rFonts w:hint="eastAsia" w:ascii="仿宋_GB2312" w:hAnsi="宋体" w:eastAsia="仿宋_GB2312" w:cs="仿宋_GB2312"/>
          <w:sz w:val="32"/>
          <w:szCs w:val="32"/>
        </w:rPr>
        <w:t>。</w:t>
      </w:r>
      <w:r>
        <w:rPr>
          <w:rFonts w:hint="default" w:ascii="Times New Roman" w:hAnsi="Times New Roman" w:eastAsia="宋体" w:cs="Times New Roman"/>
          <w:sz w:val="32"/>
          <w:szCs w:val="32"/>
        </w:rPr>
        <w:br w:type="textWrapping"/>
      </w:r>
      <w:r>
        <w:rPr>
          <w:rFonts w:hint="eastAsia" w:ascii="仿宋_GB2312" w:hAnsi="宋体" w:eastAsia="仿宋_GB2312" w:cs="仿宋_GB2312"/>
          <w:sz w:val="32"/>
          <w:szCs w:val="32"/>
        </w:rPr>
        <w:t>    如不服上述行政处罚决定，可在接到本处罚决定书之日起</w:t>
      </w:r>
      <w:r>
        <w:rPr>
          <w:rFonts w:hint="default" w:ascii="Times New Roman" w:hAnsi="Times New Roman" w:eastAsia="宋体" w:cs="Times New Roman"/>
          <w:sz w:val="32"/>
          <w:szCs w:val="32"/>
        </w:rPr>
        <w:t>60</w:t>
      </w:r>
      <w:r>
        <w:rPr>
          <w:rFonts w:hint="eastAsia" w:ascii="仿宋_GB2312" w:hAnsi="宋体" w:eastAsia="仿宋_GB2312" w:cs="仿宋_GB2312"/>
          <w:sz w:val="32"/>
          <w:szCs w:val="32"/>
        </w:rPr>
        <w:t>日内，向广州市人民政府或广东省环境保护厅提出行政复议申请，或在六个月内直接向有管辖权的人民法院提起行政诉讼。行政复议、行政诉讼期间内，不得停止本决定的履行。</w:t>
      </w:r>
      <w:r>
        <w:rPr>
          <w:rFonts w:hint="default" w:ascii="Times New Roman" w:hAnsi="Times New Roman" w:eastAsia="宋体" w:cs="Times New Roman"/>
          <w:sz w:val="32"/>
          <w:szCs w:val="32"/>
        </w:rPr>
        <w:br w:type="textWrapping"/>
      </w:r>
      <w:r>
        <w:rPr>
          <w:rFonts w:hint="eastAsia" w:ascii="仿宋_GB2312" w:hAnsi="宋体" w:eastAsia="仿宋_GB2312" w:cs="仿宋_GB2312"/>
          <w:sz w:val="32"/>
          <w:szCs w:val="32"/>
        </w:rPr>
        <w:t>    逾期不履行本处罚决定，我局将申请人民法院强制执行，并每日按罚款额的百分之三加处罚款。</w:t>
      </w:r>
    </w:p>
    <w:p>
      <w:pPr>
        <w:pStyle w:val="2"/>
        <w:keepNext w:val="0"/>
        <w:keepLines w:val="0"/>
        <w:widowControl/>
        <w:suppressLineNumbers w:val="0"/>
        <w:spacing w:before="0" w:beforeAutospacing="0" w:after="0" w:afterAutospacing="0" w:line="560" w:lineRule="atLeast"/>
        <w:ind w:right="960"/>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60" w:lineRule="atLeast"/>
        <w:ind w:right="1010"/>
        <w:jc w:val="right"/>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60" w:lineRule="atLeast"/>
        <w:ind w:right="1010"/>
        <w:jc w:val="right"/>
        <w:rPr>
          <w:rFonts w:hint="eastAsia" w:ascii="宋体" w:hAnsi="宋体" w:eastAsia="宋体" w:cs="宋体"/>
          <w:sz w:val="24"/>
          <w:szCs w:val="24"/>
        </w:rPr>
      </w:pPr>
      <w:r>
        <w:rPr>
          <w:rFonts w:hint="eastAsia" w:ascii="仿宋_GB2312" w:hAnsi="宋体" w:eastAsia="仿宋_GB2312" w:cs="仿宋_GB2312"/>
          <w:sz w:val="32"/>
          <w:szCs w:val="32"/>
        </w:rPr>
        <w:t>广州市环境保护局</w:t>
      </w:r>
    </w:p>
    <w:p>
      <w:pPr>
        <w:pStyle w:val="2"/>
        <w:keepNext w:val="0"/>
        <w:keepLines w:val="0"/>
        <w:widowControl/>
        <w:suppressLineNumbers w:val="0"/>
        <w:spacing w:before="0" w:beforeAutospacing="0" w:after="0" w:afterAutospacing="0" w:line="560" w:lineRule="atLeast"/>
        <w:ind w:right="1170"/>
        <w:jc w:val="right"/>
        <w:rPr>
          <w:rFonts w:hint="eastAsia" w:ascii="宋体" w:hAnsi="宋体" w:eastAsia="宋体" w:cs="宋体"/>
          <w:sz w:val="24"/>
          <w:szCs w:val="24"/>
        </w:rPr>
      </w:pPr>
      <w:r>
        <w:rPr>
          <w:rFonts w:hint="default" w:ascii="Times New Roman" w:hAnsi="Times New Roman" w:eastAsia="宋体" w:cs="Times New Roman"/>
          <w:sz w:val="32"/>
          <w:szCs w:val="32"/>
        </w:rPr>
        <w:t>201</w:t>
      </w:r>
      <w:r>
        <w:rPr>
          <w:rFonts w:hint="eastAsia" w:ascii="仿宋_GB2312" w:hAnsi="宋体" w:eastAsia="仿宋_GB2312" w:cs="仿宋_GB2312"/>
          <w:sz w:val="32"/>
          <w:szCs w:val="32"/>
        </w:rPr>
        <w:t>7年</w:t>
      </w:r>
      <w:r>
        <w:rPr>
          <w:rFonts w:hint="default" w:ascii="Times New Roman" w:hAnsi="Times New Roman" w:eastAsia="仿宋_GB2312" w:cs="Times New Roman"/>
          <w:sz w:val="32"/>
          <w:szCs w:val="32"/>
        </w:rPr>
        <w:t>3</w:t>
      </w:r>
      <w:r>
        <w:rPr>
          <w:rFonts w:hint="eastAsia" w:ascii="仿宋_GB2312" w:hAnsi="宋体" w:eastAsia="仿宋_GB2312" w:cs="仿宋_GB2312"/>
          <w:sz w:val="32"/>
          <w:szCs w:val="32"/>
        </w:rPr>
        <w:t>月</w:t>
      </w:r>
      <w:r>
        <w:rPr>
          <w:rFonts w:hint="default" w:ascii="Times New Roman" w:hAnsi="Times New Roman" w:eastAsia="仿宋_GB2312" w:cs="Times New Roman"/>
          <w:sz w:val="32"/>
          <w:szCs w:val="32"/>
        </w:rPr>
        <w:t>10</w:t>
      </w:r>
      <w:r>
        <w:rPr>
          <w:rFonts w:hint="eastAsia" w:ascii="仿宋_GB2312" w:hAnsi="宋体" w:eastAsia="仿宋_GB2312" w:cs="仿宋_GB2312"/>
          <w:sz w:val="32"/>
          <w:szCs w:val="32"/>
        </w:rPr>
        <w:t>日</w:t>
      </w:r>
    </w:p>
    <w:p>
      <w:pPr>
        <w:pStyle w:val="2"/>
        <w:keepNext w:val="0"/>
        <w:keepLines w:val="0"/>
        <w:widowControl/>
        <w:suppressLineNumbers w:val="0"/>
        <w:spacing w:before="0" w:beforeAutospacing="0" w:after="0" w:afterAutospacing="0" w:line="560" w:lineRule="atLeast"/>
        <w:ind w:right="1170"/>
        <w:jc w:val="right"/>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spacing w:before="0" w:beforeAutospacing="0" w:after="0" w:afterAutospacing="0" w:line="560" w:lineRule="atLeast"/>
        <w:ind w:left="0" w:right="0"/>
        <w:jc w:val="left"/>
      </w:pPr>
      <w:r>
        <w:rPr>
          <w:rFonts w:hint="eastAsia" w:ascii="仿宋_GB2312" w:eastAsia="仿宋_GB2312" w:cs="仿宋_GB2312"/>
          <w:sz w:val="32"/>
          <w:szCs w:val="32"/>
        </w:rPr>
        <w:t xml:space="preserve">  抄送：局污防处、执法监察支队，黄埔区环保局。 </w:t>
      </w: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D335A7"/>
    <w:rsid w:val="268D0943"/>
    <w:rsid w:val="2ED335A7"/>
    <w:rsid w:val="5B74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2019-01-30T08:54:00Z</dcterms:created>
  <dc:creator>黄文宇</dc:creator>
  <cp:lastModifiedBy>黄文宇</cp:lastModifiedBy>
  <dcterms:modified xsi:type="dcterms:W3CDTF">2019-01-30T08:55:20Z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