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21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广州供电局有限公司白云供电局行政处罚案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31日、9月19日调查发现，当事人管理的广州北区供电局人和农电所建设项目环评文件于2006年9月12日经我局穗环管影〔2006〕323号文批复同意，并于2010年4月正式投入使用。该项目已配套建设的环境保护设施包括：污水接入市政管道，饭堂油烟经静电处理器引至楼顶排放，设备已采取消声隔音措施；但至今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责令当事人立即改正违法行为，完成涉案建设项目需配套建设的环境保护设施竣工验收手续，并罚款4万元。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广州供电局有限公司白云供电局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61863847-9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穗环法罚〔2017〕21号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当事人：广州供电局有限公司白云供电局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组织机构代码：</w:t>
      </w:r>
      <w:r>
        <w:rPr>
          <w:rFonts w:hint="eastAsia" w:ascii="宋体" w:hAnsi="宋体" w:eastAsia="宋体" w:cs="宋体"/>
          <w:sz w:val="32"/>
          <w:szCs w:val="32"/>
        </w:rPr>
        <w:t>61863847-9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址：广州市白云区新市黄石路口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日调查发现，当事人管理的广州北区供电局人和农电所建设项目环评文件于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323</w:t>
      </w:r>
      <w:r>
        <w:rPr>
          <w:rFonts w:hint="eastAsia" w:ascii="仿宋_GB2312" w:hAnsi="宋体" w:eastAsia="仿宋_GB2312" w:cs="仿宋_GB2312"/>
          <w:sz w:val="32"/>
          <w:szCs w:val="32"/>
        </w:rPr>
        <w:t>号文批复同意，并于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。该项目已配套建设的环境保护设施包括：污水接入市政管道，饭堂油烟经静电处理器引至楼顶排放，设备已采取消声隔音措施；但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157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日送达当事人，当事人未在有效期限内提交书面申辩意见。现本案经我局审查结束。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）的规定，责令当事人立即停止使用涉案建设项目，完成该建设项目需配套建设的环境保护设施竣工验收手续，并作出处罚如下：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25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5D77"/>
    <w:rsid w:val="268D0943"/>
    <w:rsid w:val="5B744FC8"/>
    <w:rsid w:val="677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2019-01-30T08:42:00Z</dcterms:created>
  <dc:creator>黄文宇</dc:creator>
  <cp:lastModifiedBy>黄文宇</cp:lastModifiedBy>
  <dcterms:modified xsi:type="dcterms:W3CDTF">2019-01-30T08:42:54Z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