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16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广东食品药品职业学院行政处罚案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9月20日调查发现，当事人建设的广东化工制药职业技术学院（现更名为广东食品药品职业学院）新建实训楼建设项目环评文件于2007年11月12日经我局穗环管影〔2007〕409号批复同意；该建设项目实际建设内容取消了配电房及电脑机房，未建设污水处理系统，产生的生活污水经三级化粪池处理后排入渔兴路临时污水管道；该建设项目于2008年11月开工建设，2009年9月竣工，2010年1月正式投入使用，但未完成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和《广州市环境保护局规范行政处罚自由裁量权规定》附件《环境违法行为行政处罚自由裁量适用标准》第8（2）（B）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责令当事人立即改正违法行为，完成项目需配套建设的环境保护设施竣工验收手续，并处罚款3万元。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广东食品药品职业学院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1244000045585685XX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郑彦云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穗环法罚〔2017〕16号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当事人：广东食品药品职业学院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</w:t>
      </w:r>
      <w:r>
        <w:rPr>
          <w:rFonts w:hint="eastAsia" w:ascii="宋体" w:hAnsi="宋体" w:eastAsia="宋体" w:cs="宋体"/>
          <w:sz w:val="32"/>
          <w:szCs w:val="32"/>
        </w:rPr>
        <w:t>1244000045585685XX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1280" w:hanging="12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址：广州市沙河龙眼洞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日调查发现，当事人建设的广东化工制药职业技术学院（现更名为广东食品药品职业学院）新建实训楼建设项目环评文件于</w:t>
      </w:r>
      <w:r>
        <w:rPr>
          <w:rFonts w:hint="eastAsia" w:ascii="宋体" w:hAnsi="宋体" w:eastAsia="宋体" w:cs="宋体"/>
          <w:sz w:val="32"/>
          <w:szCs w:val="32"/>
        </w:rPr>
        <w:t>2007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eastAsia" w:ascii="宋体" w:hAnsi="宋体" w:eastAsia="宋体" w:cs="宋体"/>
          <w:sz w:val="32"/>
          <w:szCs w:val="32"/>
        </w:rPr>
        <w:t>2007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409</w:t>
      </w:r>
      <w:r>
        <w:rPr>
          <w:rFonts w:hint="eastAsia" w:ascii="仿宋_GB2312" w:hAnsi="宋体" w:eastAsia="仿宋_GB2312" w:cs="仿宋_GB2312"/>
          <w:sz w:val="32"/>
          <w:szCs w:val="32"/>
        </w:rPr>
        <w:t>号批复同意；该建设项目实际建设内容取消了配电房及电脑机房，未建设污水处理系统，产生的生活污水经三级化粪池处理后排入渔兴路临时污水管道；该建设项目于</w:t>
      </w:r>
      <w:r>
        <w:rPr>
          <w:rFonts w:hint="eastAsia" w:ascii="宋体" w:hAnsi="宋体" w:eastAsia="宋体" w:cs="宋体"/>
          <w:sz w:val="32"/>
          <w:szCs w:val="32"/>
        </w:rPr>
        <w:t>2008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月开工建设，</w:t>
      </w:r>
      <w:r>
        <w:rPr>
          <w:rFonts w:hint="eastAsia" w:ascii="宋体" w:hAnsi="宋体" w:eastAsia="宋体" w:cs="宋体"/>
          <w:sz w:val="32"/>
          <w:szCs w:val="32"/>
        </w:rPr>
        <w:t>2009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月竣工，</w:t>
      </w:r>
      <w:r>
        <w:rPr>
          <w:rFonts w:hint="eastAsia" w:ascii="宋体" w:hAnsi="宋体" w:eastAsia="宋体" w:cs="宋体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月正式投入使用，但未完成项目需配套建设的环境保护设施竣工验收手续。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以上事实，有《调查询问笔录》、《现场检查笔录》等证据为证。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29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日，我局作出《行政处罚听证告知书》（穗环法告〔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131</w:t>
      </w:r>
      <w:r>
        <w:rPr>
          <w:rFonts w:hint="eastAsia" w:ascii="仿宋_GB2312" w:hAnsi="宋体" w:eastAsia="仿宋_GB2312" w:cs="仿宋_GB2312"/>
          <w:sz w:val="32"/>
          <w:szCs w:val="32"/>
        </w:rPr>
        <w:t>号），并送达当事人。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日，当事人提出书面陈述申辩意见如下：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、涉案项目主要用于学生模拟药店、药品销售模拟谈判中心、物流等课程的教学场所，不涉及生物、化学等实验，日常只有少量的教学生活污水排放；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项目选址位于猎德污水处理系统集污范围，该校周边又无市政排水管道，污水不能接入猎德污水处理厂处理，因此，在投入使用时已经充分考虑如何减少环境污染，在教学用途上只安排了管理类专业的实训教程，对于教学所产生的生活污水，采用了常规的三级化粪池处理后排入渔兴路临时污水管道；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、天河区市政建设项目管理办公室正在完善周边排污管网，该校已借道给广州市净水公司进行污水系统建设，目前，该项目正在该校周边实施排污管道安装，届时排污问题将可解决。对此，我局认为，在市政排水管道未完善前，当事人未按照环评批复要求自建污水处理系统，擅自将涉案项目投入使用的事实清楚，应当予以处罚，但考虑到项目为公益性质且排污量不大，主要为生活污水，正在积极改正，本案可酌情减轻处罚金额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我局依据《中华人民共和国行政处罚法》第二十三条、《建设项目环境保护管理条例》第二十八条和《广州市环境保护局规范行政处罚自由裁量权规定》附件《环境违法行为行政处罚自由裁量适用标准》第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B</w:t>
      </w:r>
      <w:r>
        <w:rPr>
          <w:rFonts w:hint="eastAsia" w:ascii="仿宋_GB2312" w:hAnsi="宋体" w:eastAsia="仿宋_GB2312" w:cs="仿宋_GB2312"/>
          <w:sz w:val="32"/>
          <w:szCs w:val="32"/>
        </w:rPr>
        <w:t>）项的规定，责令当事人立即改正违法行为，完成项目需配套建设的环境保护设施竣工验收手续，并作出处罚决定如下：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26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13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67AA2"/>
    <w:rsid w:val="268D0943"/>
    <w:rsid w:val="32367AA2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2019-01-30T08:36:00Z</dcterms:created>
  <dc:creator>黄文宇</dc:creator>
  <cp:lastModifiedBy>黄文宇</cp:lastModifiedBy>
  <dcterms:modified xsi:type="dcterms:W3CDTF">2019-01-30T08:36:41Z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