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ascii="宋体" w:hAnsi="宋体" w:eastAsia="宋体" w:cs="宋体"/>
          <w:sz w:val="24"/>
          <w:szCs w:val="24"/>
        </w:rPr>
        <w:t> </w:t>
      </w:r>
      <w:bookmarkStart w:id="0" w:name="_GoBack"/>
      <w:r>
        <w:rPr>
          <w:rFonts w:ascii="宋体" w:hAnsi="宋体" w:eastAsia="宋体" w:cs="宋体"/>
          <w:b/>
          <w:bCs/>
          <w:color w:val="102401"/>
          <w:kern w:val="0"/>
          <w:sz w:val="32"/>
          <w:szCs w:val="32"/>
        </w:rPr>
        <w:t>穗环法罚〔2017〕</w:t>
      </w:r>
      <w:r>
        <w:rPr>
          <w:rFonts w:hint="eastAsia" w:ascii="宋体" w:hAnsi="宋体" w:eastAsia="宋体" w:cs="宋体"/>
          <w:b/>
          <w:bCs/>
          <w:color w:val="102401"/>
          <w:kern w:val="0"/>
          <w:sz w:val="32"/>
          <w:szCs w:val="32"/>
          <w:lang w:val="en-US" w:eastAsia="zh-CN"/>
        </w:rPr>
        <w:t>10</w:t>
      </w:r>
      <w:r>
        <w:rPr>
          <w:rFonts w:ascii="宋体" w:hAnsi="宋体" w:eastAsia="宋体" w:cs="宋体"/>
          <w:b/>
          <w:bCs/>
          <w:color w:val="102401"/>
          <w:kern w:val="0"/>
          <w:sz w:val="32"/>
          <w:szCs w:val="32"/>
        </w:rPr>
        <w:t>号</w:t>
      </w:r>
      <w:bookmarkEnd w:id="0"/>
    </w:p>
    <w:p>
      <w:pPr>
        <w:pStyle w:val="2"/>
        <w:keepNext w:val="0"/>
        <w:keepLines w:val="0"/>
        <w:widowControl/>
        <w:suppressLineNumbers w:val="0"/>
        <w:spacing w:before="0" w:beforeAutospacing="0" w:after="0" w:afterAutospacing="0" w:line="15" w:lineRule="atLeast"/>
        <w:ind w:left="0" w:right="0"/>
        <w:rPr>
          <w:rFonts w:hint="eastAsia" w:ascii="宋体" w:hAnsi="宋体" w:eastAsia="宋体" w:cs="宋体"/>
          <w:sz w:val="24"/>
          <w:szCs w:val="24"/>
        </w:rPr>
      </w:pPr>
      <w:r>
        <w:rPr>
          <w:rFonts w:hint="eastAsia" w:ascii="宋体" w:hAnsi="宋体" w:eastAsia="宋体" w:cs="宋体"/>
          <w:sz w:val="24"/>
          <w:szCs w:val="24"/>
        </w:rPr>
        <w:t xml:space="preserve">   </w:t>
      </w:r>
    </w:p>
    <w:tbl>
      <w:tblPr>
        <w:tblW w:w="8568" w:type="dxa"/>
        <w:jc w:val="center"/>
        <w:tblInd w:w="0" w:type="dxa"/>
        <w:shd w:val="clear"/>
        <w:tblLayout w:type="fixed"/>
        <w:tblCellMar>
          <w:top w:w="0" w:type="dxa"/>
          <w:left w:w="108" w:type="dxa"/>
          <w:bottom w:w="0" w:type="dxa"/>
          <w:right w:w="108" w:type="dxa"/>
        </w:tblCellMar>
      </w:tblPr>
      <w:tblGrid>
        <w:gridCol w:w="1908"/>
        <w:gridCol w:w="1620"/>
        <w:gridCol w:w="1440"/>
        <w:gridCol w:w="1080"/>
        <w:gridCol w:w="1080"/>
        <w:gridCol w:w="1440"/>
      </w:tblGrid>
      <w:tr>
        <w:tblPrEx>
          <w:shd w:val="clear"/>
          <w:tblLayout w:type="fixed"/>
          <w:tblCellMar>
            <w:top w:w="0" w:type="dxa"/>
            <w:left w:w="108" w:type="dxa"/>
            <w:bottom w:w="0" w:type="dxa"/>
            <w:right w:w="108" w:type="dxa"/>
          </w:tblCellMar>
        </w:tblPrEx>
        <w:trPr>
          <w:trHeight w:val="285" w:hRule="atLeast"/>
          <w:jc w:val="center"/>
        </w:trPr>
        <w:tc>
          <w:tcPr>
            <w:tcW w:w="1908" w:type="dxa"/>
            <w:tcBorders>
              <w:top w:val="single" w:color="auto" w:sz="4" w:space="0"/>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行政处罚决定文书号:</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穗环法罚〔2017〕10号</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处罚名称:</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广州市荔湾区桥中街坦尾股份合作经济联合社行政处罚案</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处罚类别:</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罚款</w:t>
            </w:r>
          </w:p>
        </w:tc>
      </w:tr>
      <w:tr>
        <w:tblPrEx>
          <w:tblLayout w:type="fixed"/>
          <w:tblCellMar>
            <w:top w:w="0" w:type="dxa"/>
            <w:left w:w="108" w:type="dxa"/>
            <w:bottom w:w="0" w:type="dxa"/>
            <w:right w:w="108" w:type="dxa"/>
          </w:tblCellMar>
        </w:tblPrEx>
        <w:trPr>
          <w:trHeight w:val="276" w:hRule="atLeast"/>
          <w:jc w:val="center"/>
        </w:trPr>
        <w:tc>
          <w:tcPr>
            <w:tcW w:w="1908"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处罚事由:</w:t>
            </w:r>
          </w:p>
        </w:tc>
        <w:tc>
          <w:tcPr>
            <w:tcW w:w="6660" w:type="dxa"/>
            <w:gridSpan w:val="5"/>
            <w:tcBorders>
              <w:top w:val="single" w:color="auto" w:sz="4" w:space="0"/>
              <w:left w:val="nil"/>
              <w:bottom w:val="single" w:color="auto" w:sz="4" w:space="0"/>
              <w:right w:val="single" w:color="000000" w:sz="4" w:space="0"/>
            </w:tcBorders>
            <w:shd w:val="clear"/>
            <w:vAlign w:val="center"/>
          </w:tcPr>
          <w:p>
            <w:pPr>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经我局执法监察支队2016年9月30日调查发现，当事人建设的坦尾村陈富六亩1幢10层住宅、市场综合楼建设项目环评文件于2007年4月9日经我局穗环管影〔2007〕104号批复同意；上述建设项目产生的生活污水经三级化粪池处理后接驳入市政污水管网，各项污染治理设施正常运行；该建设项目于2008年7月开工建设，2010年2月建设完工，2010年3月投入使用至今，尚未完成该建设项目需配套建设的环境保护设施竣工验收手续。</w:t>
            </w:r>
          </w:p>
        </w:tc>
      </w:tr>
      <w:tr>
        <w:tblPrEx>
          <w:tblLayout w:type="fixed"/>
          <w:tblCellMar>
            <w:top w:w="0" w:type="dxa"/>
            <w:left w:w="108" w:type="dxa"/>
            <w:bottom w:w="0" w:type="dxa"/>
            <w:right w:w="108" w:type="dxa"/>
          </w:tblCellMar>
        </w:tblPrEx>
        <w:trPr>
          <w:trHeight w:val="347" w:hRule="atLeast"/>
          <w:jc w:val="center"/>
        </w:trPr>
        <w:tc>
          <w:tcPr>
            <w:tcW w:w="1908"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处罚依据:</w:t>
            </w:r>
          </w:p>
        </w:tc>
        <w:tc>
          <w:tcPr>
            <w:tcW w:w="6660" w:type="dxa"/>
            <w:gridSpan w:val="5"/>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依据《中华人民共和国行政处罚法》第二十三条、《建设项目环境保护管理条例》第二十八条及《广州市环境保护局规范行政处罚自由裁量权规定》附件《环境违法行为行政处罚自由裁量适用标准》第8（2）（A）（c）的规定</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处罚结果:</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责令当事人立即改正违法行为，完成涉案建设项目需配套建设的环境保护设施竣工验收手续，罚款4万元。</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行政相对人名称:</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广州市荔湾区桥中街坦尾股份合作经济联合社（原名广州市荔湾区坦尾经济联合社）</w:t>
            </w:r>
          </w:p>
        </w:tc>
      </w:tr>
      <w:tr>
        <w:tblPrEx>
          <w:tblLayout w:type="fixed"/>
          <w:tblCellMar>
            <w:top w:w="0" w:type="dxa"/>
            <w:left w:w="108" w:type="dxa"/>
            <w:bottom w:w="0" w:type="dxa"/>
            <w:right w:w="108" w:type="dxa"/>
          </w:tblCellMar>
        </w:tblPrEx>
        <w:trPr>
          <w:trHeight w:val="547" w:hRule="atLeast"/>
          <w:jc w:val="center"/>
        </w:trPr>
        <w:tc>
          <w:tcPr>
            <w:tcW w:w="1908" w:type="dxa"/>
            <w:vMerge w:val="restart"/>
            <w:tcBorders>
              <w:top w:val="nil"/>
              <w:left w:val="single" w:color="auto" w:sz="4" w:space="0"/>
              <w:bottom w:val="single" w:color="000000" w:sz="4" w:space="0"/>
              <w:right w:val="single" w:color="auto" w:sz="4" w:space="0"/>
            </w:tcBorders>
            <w:shd w:val="clear"/>
            <w:vAlign w:val="center"/>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行政相对人代码:</w:t>
            </w:r>
          </w:p>
        </w:tc>
        <w:tc>
          <w:tcPr>
            <w:tcW w:w="162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center"/>
              <w:rPr>
                <w:rFonts w:hint="eastAsia" w:ascii="宋体" w:hAnsi="宋体" w:eastAsia="宋体" w:cs="宋体"/>
                <w:sz w:val="24"/>
                <w:szCs w:val="24"/>
              </w:rPr>
            </w:pPr>
            <w:r>
              <w:rPr>
                <w:rFonts w:hint="eastAsia" w:ascii="宋体" w:hAnsi="宋体" w:eastAsia="宋体" w:cs="宋体"/>
                <w:b/>
                <w:bCs w:val="0"/>
                <w:sz w:val="24"/>
                <w:szCs w:val="24"/>
                <w:bdr w:val="none" w:color="auto" w:sz="0" w:space="0"/>
              </w:rPr>
              <w:t>统一社会信用代码</w:t>
            </w:r>
          </w:p>
        </w:tc>
        <w:tc>
          <w:tcPr>
            <w:tcW w:w="144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center"/>
              <w:rPr>
                <w:rFonts w:hint="eastAsia" w:ascii="宋体" w:hAnsi="宋体" w:eastAsia="宋体" w:cs="宋体"/>
                <w:sz w:val="24"/>
                <w:szCs w:val="24"/>
              </w:rPr>
            </w:pPr>
            <w:r>
              <w:rPr>
                <w:rFonts w:hint="eastAsia" w:ascii="宋体" w:hAnsi="宋体" w:eastAsia="宋体" w:cs="宋体"/>
                <w:b/>
                <w:bCs w:val="0"/>
                <w:sz w:val="24"/>
                <w:szCs w:val="24"/>
                <w:bdr w:val="none" w:color="auto" w:sz="0" w:space="0"/>
              </w:rPr>
              <w:t>组织机构代码</w:t>
            </w:r>
          </w:p>
        </w:tc>
        <w:tc>
          <w:tcPr>
            <w:tcW w:w="108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center"/>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工商登记码</w:t>
            </w:r>
          </w:p>
        </w:tc>
        <w:tc>
          <w:tcPr>
            <w:tcW w:w="108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center"/>
              <w:rPr>
                <w:rFonts w:hint="eastAsia" w:ascii="宋体" w:hAnsi="宋体" w:eastAsia="宋体" w:cs="宋体"/>
                <w:sz w:val="24"/>
                <w:szCs w:val="24"/>
              </w:rPr>
            </w:pPr>
            <w:r>
              <w:rPr>
                <w:rFonts w:hint="eastAsia" w:ascii="宋体" w:hAnsi="宋体" w:eastAsia="宋体" w:cs="宋体"/>
                <w:b/>
                <w:bCs w:val="0"/>
                <w:sz w:val="24"/>
                <w:szCs w:val="24"/>
                <w:bdr w:val="none" w:color="auto" w:sz="0" w:space="0"/>
              </w:rPr>
              <w:t>税务登记号</w:t>
            </w:r>
          </w:p>
        </w:tc>
        <w:tc>
          <w:tcPr>
            <w:tcW w:w="144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center"/>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居民身份证号码</w:t>
            </w:r>
          </w:p>
        </w:tc>
      </w:tr>
      <w:tr>
        <w:tblPrEx>
          <w:tblLayout w:type="fixed"/>
          <w:tblCellMar>
            <w:top w:w="0" w:type="dxa"/>
            <w:left w:w="108" w:type="dxa"/>
            <w:bottom w:w="0" w:type="dxa"/>
            <w:right w:w="108" w:type="dxa"/>
          </w:tblCellMar>
        </w:tblPrEx>
        <w:trPr>
          <w:trHeight w:val="371" w:hRule="atLeast"/>
          <w:jc w:val="center"/>
        </w:trPr>
        <w:tc>
          <w:tcPr>
            <w:tcW w:w="1908" w:type="dxa"/>
            <w:vMerge w:val="continue"/>
            <w:tcBorders>
              <w:top w:val="nil"/>
              <w:left w:val="single" w:color="auto" w:sz="4" w:space="0"/>
              <w:bottom w:val="single" w:color="000000" w:sz="4" w:space="0"/>
              <w:right w:val="single" w:color="auto" w:sz="4" w:space="0"/>
            </w:tcBorders>
            <w:shd w:val="clear"/>
            <w:vAlign w:val="center"/>
          </w:tcPr>
          <w:p>
            <w:pPr>
              <w:rPr>
                <w:rFonts w:hint="eastAsia" w:ascii="宋体" w:hAnsi="宋体" w:eastAsia="宋体" w:cs="宋体"/>
                <w:sz w:val="24"/>
                <w:szCs w:val="24"/>
              </w:rPr>
            </w:pPr>
          </w:p>
        </w:tc>
        <w:tc>
          <w:tcPr>
            <w:tcW w:w="1620" w:type="dxa"/>
            <w:tcBorders>
              <w:top w:val="nil"/>
              <w:left w:val="nil"/>
              <w:bottom w:val="single" w:color="auto" w:sz="4" w:space="0"/>
              <w:right w:val="single" w:color="auto" w:sz="4" w:space="0"/>
            </w:tcBorders>
            <w:shd w:val="clear"/>
            <w:vAlign w:val="bottom"/>
          </w:tcPr>
          <w:p>
            <w:pPr>
              <w:rPr>
                <w:rFonts w:hint="eastAsia" w:ascii="宋体" w:hAnsi="宋体" w:eastAsia="宋体" w:cs="宋体"/>
                <w:sz w:val="24"/>
                <w:szCs w:val="24"/>
              </w:rPr>
            </w:pPr>
          </w:p>
        </w:tc>
        <w:tc>
          <w:tcPr>
            <w:tcW w:w="1440" w:type="dxa"/>
            <w:tcBorders>
              <w:top w:val="nil"/>
              <w:left w:val="nil"/>
              <w:bottom w:val="single" w:color="auto" w:sz="4" w:space="0"/>
              <w:right w:val="single" w:color="auto" w:sz="4" w:space="0"/>
            </w:tcBorders>
            <w:shd w:val="clear"/>
            <w:vAlign w:val="bottom"/>
          </w:tcPr>
          <w:p>
            <w:pPr>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   72819997-2</w:t>
            </w:r>
          </w:p>
        </w:tc>
        <w:tc>
          <w:tcPr>
            <w:tcW w:w="108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　</w:t>
            </w:r>
          </w:p>
        </w:tc>
        <w:tc>
          <w:tcPr>
            <w:tcW w:w="108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　</w:t>
            </w:r>
          </w:p>
        </w:tc>
        <w:tc>
          <w:tcPr>
            <w:tcW w:w="144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　</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法人代表姓名:</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陈耀雄</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处罚决定日期:</w:t>
            </w:r>
          </w:p>
        </w:tc>
        <w:tc>
          <w:tcPr>
            <w:tcW w:w="6660" w:type="dxa"/>
            <w:gridSpan w:val="5"/>
            <w:tcBorders>
              <w:top w:val="single" w:color="auto" w:sz="4" w:space="0"/>
              <w:left w:val="nil"/>
              <w:bottom w:val="single" w:color="auto" w:sz="4" w:space="0"/>
              <w:right w:val="single" w:color="000000"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2017/1/13</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处罚机关:</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广州市环境保护局</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地方编码:</w:t>
            </w:r>
          </w:p>
        </w:tc>
        <w:tc>
          <w:tcPr>
            <w:tcW w:w="6660" w:type="dxa"/>
            <w:gridSpan w:val="5"/>
            <w:tcBorders>
              <w:top w:val="single" w:color="auto" w:sz="4" w:space="0"/>
              <w:left w:val="nil"/>
              <w:bottom w:val="single" w:color="auto" w:sz="4" w:space="0"/>
              <w:right w:val="single" w:color="000000"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400100</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当前状态:</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正常</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sz w:val="24"/>
                <w:szCs w:val="24"/>
                <w:bdr w:val="none" w:color="auto" w:sz="0" w:space="0"/>
              </w:rPr>
              <w:t>数据更新时间戳</w:t>
            </w:r>
            <w:r>
              <w:rPr>
                <w:rFonts w:hint="eastAsia" w:ascii="宋体" w:hAnsi="宋体" w:eastAsia="宋体" w:cs="宋体"/>
                <w:b/>
                <w:bCs w:val="0"/>
                <w:sz w:val="24"/>
                <w:szCs w:val="24"/>
                <w:bdr w:val="none" w:color="auto" w:sz="0" w:space="0"/>
              </w:rPr>
              <w:t>:</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2017/1/13</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备注:</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 </w:t>
            </w:r>
          </w:p>
        </w:tc>
      </w:tr>
    </w:tbl>
    <w:p>
      <w:pPr>
        <w:pStyle w:val="2"/>
        <w:keepNext w:val="0"/>
        <w:keepLines w:val="0"/>
        <w:widowControl/>
        <w:suppressLineNumbers w:val="0"/>
        <w:spacing w:before="0" w:beforeAutospacing="0" w:after="0" w:afterAutospacing="0" w:line="15" w:lineRule="atLeast"/>
        <w:ind w:left="0" w:right="0"/>
        <w:rPr>
          <w:rFonts w:hint="eastAsia" w:ascii="宋体" w:hAnsi="宋体" w:eastAsia="宋体" w:cs="宋体"/>
          <w:sz w:val="24"/>
          <w:szCs w:val="24"/>
        </w:rPr>
      </w:pPr>
      <w:r>
        <w:rPr>
          <w:rFonts w:hint="eastAsia" w:ascii="宋体" w:hAnsi="宋体" w:eastAsia="宋体" w:cs="宋体"/>
          <w:sz w:val="24"/>
          <w:szCs w:val="24"/>
        </w:rPr>
        <w:t> </w:t>
      </w:r>
    </w:p>
    <w:p>
      <w:pPr>
        <w:keepNext w:val="0"/>
        <w:keepLines w:val="0"/>
        <w:widowControl/>
        <w:suppressLineNumbers w:val="0"/>
        <w:spacing w:before="0" w:beforeAutospacing="0" w:after="0" w:afterAutospacing="0" w:line="15" w:lineRule="atLeast"/>
        <w:jc w:val="left"/>
        <w:rPr>
          <w:rFonts w:hint="eastAsia" w:ascii="宋体" w:hAnsi="宋体" w:eastAsia="宋体" w:cs="宋体"/>
          <w:sz w:val="32"/>
          <w:szCs w:val="32"/>
        </w:rPr>
      </w:pPr>
      <w:r>
        <w:rPr>
          <w:rStyle w:val="4"/>
          <w:rFonts w:hint="eastAsia" w:ascii="宋体" w:hAnsi="宋体" w:eastAsia="宋体" w:cs="宋体"/>
          <w:kern w:val="0"/>
          <w:sz w:val="32"/>
          <w:szCs w:val="32"/>
          <w:lang w:val="en-US" w:eastAsia="zh-CN" w:bidi="ar"/>
        </w:rPr>
        <w:t xml:space="preserve">   </w:t>
      </w:r>
    </w:p>
    <w:p>
      <w:pPr>
        <w:keepNext w:val="0"/>
        <w:keepLines w:val="0"/>
        <w:widowControl/>
        <w:suppressLineNumbers w:val="0"/>
        <w:spacing w:before="0" w:beforeAutospacing="0" w:after="0" w:afterAutospacing="0" w:line="15" w:lineRule="atLeast"/>
        <w:jc w:val="left"/>
        <w:rPr>
          <w:rFonts w:hint="eastAsia" w:ascii="宋体" w:hAnsi="宋体" w:eastAsia="宋体" w:cs="宋体"/>
          <w:sz w:val="32"/>
          <w:szCs w:val="32"/>
        </w:rPr>
      </w:pPr>
      <w:r>
        <w:rPr>
          <w:rStyle w:val="4"/>
          <w:rFonts w:hint="eastAsia" w:ascii="宋体" w:hAnsi="宋体" w:eastAsia="宋体" w:cs="宋体"/>
          <w:kern w:val="0"/>
          <w:sz w:val="32"/>
          <w:szCs w:val="32"/>
          <w:lang w:val="en-US" w:eastAsia="zh-CN" w:bidi="ar"/>
        </w:rPr>
        <w:t>全文信息</w:t>
      </w:r>
    </w:p>
    <w:p>
      <w:pPr>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 </w:t>
      </w:r>
    </w:p>
    <w:p>
      <w:pPr>
        <w:pStyle w:val="2"/>
        <w:keepNext w:val="0"/>
        <w:keepLines w:val="0"/>
        <w:widowControl/>
        <w:suppressLineNumbers w:val="0"/>
        <w:snapToGrid w:val="0"/>
        <w:spacing w:before="0" w:beforeAutospacing="0" w:after="0" w:afterAutospacing="0" w:line="560" w:lineRule="atLeast"/>
        <w:jc w:val="center"/>
        <w:rPr>
          <w:rFonts w:hint="eastAsia" w:ascii="宋体" w:hAnsi="宋体" w:eastAsia="宋体" w:cs="宋体"/>
          <w:sz w:val="24"/>
          <w:szCs w:val="24"/>
        </w:rPr>
      </w:pPr>
      <w:r>
        <w:rPr>
          <w:rFonts w:ascii="方正小标宋简体" w:hAnsi="方正小标宋简体" w:eastAsia="方正小标宋简体" w:cs="方正小标宋简体"/>
          <w:b/>
          <w:bCs w:val="0"/>
          <w:sz w:val="44"/>
          <w:szCs w:val="44"/>
        </w:rPr>
        <w:t>行政处罚决定书</w:t>
      </w:r>
    </w:p>
    <w:p>
      <w:pPr>
        <w:pStyle w:val="2"/>
        <w:keepNext w:val="0"/>
        <w:keepLines w:val="0"/>
        <w:widowControl/>
        <w:suppressLineNumbers w:val="0"/>
        <w:snapToGrid w:val="0"/>
        <w:spacing w:before="0" w:beforeAutospacing="0" w:after="0" w:afterAutospacing="0" w:line="560" w:lineRule="atLeast"/>
        <w:jc w:val="center"/>
        <w:rPr>
          <w:rFonts w:hint="eastAsia" w:ascii="宋体" w:hAnsi="宋体" w:eastAsia="宋体" w:cs="宋体"/>
          <w:sz w:val="24"/>
          <w:szCs w:val="24"/>
        </w:rPr>
      </w:pPr>
      <w:r>
        <w:rPr>
          <w:rFonts w:hint="eastAsia" w:ascii="宋体" w:hAnsi="宋体" w:eastAsia="宋体" w:cs="宋体"/>
          <w:snapToGrid w:val="0"/>
          <w:sz w:val="24"/>
          <w:szCs w:val="24"/>
        </w:rPr>
        <w:t> </w:t>
      </w:r>
    </w:p>
    <w:p>
      <w:pPr>
        <w:pStyle w:val="2"/>
        <w:keepNext w:val="0"/>
        <w:keepLines w:val="0"/>
        <w:widowControl/>
        <w:suppressLineNumbers w:val="0"/>
        <w:snapToGrid w:val="0"/>
        <w:spacing w:before="0" w:beforeAutospacing="0" w:after="0" w:afterAutospacing="0" w:line="560" w:lineRule="atLeast"/>
        <w:jc w:val="center"/>
        <w:rPr>
          <w:rFonts w:hint="eastAsia" w:ascii="宋体" w:hAnsi="宋体" w:eastAsia="宋体" w:cs="宋体"/>
          <w:sz w:val="30"/>
          <w:szCs w:val="30"/>
        </w:rPr>
      </w:pPr>
      <w:r>
        <w:rPr>
          <w:rFonts w:hint="eastAsia" w:ascii="宋体" w:hAnsi="宋体" w:eastAsia="宋体" w:cs="宋体"/>
          <w:sz w:val="30"/>
          <w:szCs w:val="30"/>
        </w:rPr>
        <w:t>穗环法罚〔2017〕10号</w:t>
      </w:r>
    </w:p>
    <w:p>
      <w:pPr>
        <w:pStyle w:val="2"/>
        <w:keepNext w:val="0"/>
        <w:keepLines w:val="0"/>
        <w:widowControl/>
        <w:suppressLineNumbers w:val="0"/>
        <w:snapToGrid w:val="0"/>
        <w:spacing w:before="0" w:beforeAutospacing="0" w:after="0" w:afterAutospacing="0" w:line="560" w:lineRule="atLeast"/>
        <w:jc w:val="center"/>
        <w:rPr>
          <w:rFonts w:hint="eastAsia" w:ascii="宋体" w:hAnsi="宋体" w:eastAsia="宋体" w:cs="宋体"/>
          <w:sz w:val="30"/>
          <w:szCs w:val="30"/>
        </w:rPr>
      </w:pPr>
      <w:r>
        <w:rPr>
          <w:rFonts w:hint="eastAsia" w:ascii="宋体" w:hAnsi="宋体" w:eastAsia="宋体" w:cs="宋体"/>
          <w:sz w:val="30"/>
          <w:szCs w:val="30"/>
        </w:rPr>
        <w:t xml:space="preserve">   </w:t>
      </w:r>
    </w:p>
    <w:p>
      <w:pPr>
        <w:pStyle w:val="2"/>
        <w:keepNext w:val="0"/>
        <w:keepLines w:val="0"/>
        <w:widowControl/>
        <w:suppressLineNumbers w:val="0"/>
        <w:spacing w:before="0" w:beforeAutospacing="0" w:after="0" w:afterAutospacing="0" w:line="480" w:lineRule="atLeast"/>
        <w:rPr>
          <w:rFonts w:hint="eastAsia" w:ascii="宋体" w:hAnsi="宋体" w:eastAsia="宋体" w:cs="宋体"/>
          <w:sz w:val="24"/>
          <w:szCs w:val="24"/>
        </w:rPr>
      </w:pPr>
      <w:r>
        <w:rPr>
          <w:rFonts w:ascii="仿宋_GB2312" w:hAnsi="宋体" w:eastAsia="仿宋_GB2312" w:cs="仿宋_GB2312"/>
          <w:sz w:val="32"/>
          <w:szCs w:val="32"/>
        </w:rPr>
        <w:t>当事人：广州市荔湾区桥中街坦尾股份合作经济联合社（原名广州市荔湾区坦尾经济联合社）</w:t>
      </w:r>
    </w:p>
    <w:p>
      <w:pPr>
        <w:pStyle w:val="2"/>
        <w:keepNext w:val="0"/>
        <w:keepLines w:val="0"/>
        <w:widowControl/>
        <w:suppressLineNumbers w:val="0"/>
        <w:spacing w:before="0" w:beforeAutospacing="0" w:after="0" w:afterAutospacing="0" w:line="480" w:lineRule="atLeast"/>
        <w:rPr>
          <w:rFonts w:hint="eastAsia" w:ascii="宋体" w:hAnsi="宋体" w:eastAsia="宋体" w:cs="宋体"/>
          <w:sz w:val="24"/>
          <w:szCs w:val="24"/>
        </w:rPr>
      </w:pPr>
      <w:r>
        <w:rPr>
          <w:rFonts w:hint="eastAsia" w:ascii="仿宋_GB2312" w:hAnsi="宋体" w:eastAsia="仿宋_GB2312" w:cs="仿宋_GB2312"/>
          <w:sz w:val="32"/>
          <w:szCs w:val="32"/>
        </w:rPr>
        <w:t>组织机构代码：</w:t>
      </w:r>
      <w:r>
        <w:rPr>
          <w:rFonts w:hint="eastAsia" w:ascii="宋体" w:hAnsi="宋体" w:eastAsia="宋体" w:cs="宋体"/>
          <w:sz w:val="32"/>
          <w:szCs w:val="32"/>
        </w:rPr>
        <w:t>72819997-2</w:t>
      </w:r>
    </w:p>
    <w:p>
      <w:pPr>
        <w:pStyle w:val="2"/>
        <w:keepNext w:val="0"/>
        <w:keepLines w:val="0"/>
        <w:widowControl/>
        <w:suppressLineNumbers w:val="0"/>
        <w:spacing w:before="0" w:beforeAutospacing="0" w:after="0" w:afterAutospacing="0" w:line="480" w:lineRule="atLeast"/>
        <w:rPr>
          <w:rFonts w:hint="eastAsia" w:ascii="宋体" w:hAnsi="宋体" w:eastAsia="宋体" w:cs="宋体"/>
          <w:sz w:val="24"/>
          <w:szCs w:val="24"/>
        </w:rPr>
      </w:pPr>
      <w:r>
        <w:rPr>
          <w:rFonts w:hint="eastAsia" w:ascii="仿宋_GB2312" w:hAnsi="宋体" w:eastAsia="仿宋_GB2312" w:cs="仿宋_GB2312"/>
          <w:sz w:val="32"/>
          <w:szCs w:val="32"/>
        </w:rPr>
        <w:t>地</w:t>
      </w:r>
      <w:r>
        <w:rPr>
          <w:rFonts w:hint="eastAsia" w:ascii="宋体" w:hAnsi="宋体" w:eastAsia="宋体" w:cs="宋体"/>
          <w:sz w:val="32"/>
          <w:szCs w:val="32"/>
        </w:rPr>
        <w:t xml:space="preserve">  </w:t>
      </w:r>
      <w:r>
        <w:rPr>
          <w:rFonts w:hint="eastAsia" w:ascii="仿宋_GB2312" w:hAnsi="宋体" w:eastAsia="仿宋_GB2312" w:cs="仿宋_GB2312"/>
          <w:sz w:val="32"/>
          <w:szCs w:val="32"/>
        </w:rPr>
        <w:t>址：广州市荔湾区坦尾西路</w:t>
      </w:r>
      <w:r>
        <w:rPr>
          <w:rFonts w:hint="eastAsia" w:ascii="宋体" w:hAnsi="宋体" w:eastAsia="宋体" w:cs="宋体"/>
          <w:sz w:val="32"/>
          <w:szCs w:val="32"/>
        </w:rPr>
        <w:t>88</w:t>
      </w:r>
      <w:r>
        <w:rPr>
          <w:rFonts w:hint="eastAsia" w:ascii="仿宋_GB2312" w:hAnsi="宋体" w:eastAsia="仿宋_GB2312" w:cs="仿宋_GB2312"/>
          <w:sz w:val="32"/>
          <w:szCs w:val="32"/>
        </w:rPr>
        <w:t>号</w:t>
      </w:r>
    </w:p>
    <w:p>
      <w:pPr>
        <w:pStyle w:val="2"/>
        <w:keepNext w:val="0"/>
        <w:keepLines w:val="0"/>
        <w:widowControl/>
        <w:suppressLineNumbers w:val="0"/>
        <w:spacing w:before="0" w:beforeAutospacing="0" w:after="0" w:afterAutospacing="0" w:line="480" w:lineRule="atLeast"/>
        <w:ind w:left="0" w:firstLine="640"/>
        <w:rPr>
          <w:rFonts w:hint="eastAsia" w:ascii="宋体" w:hAnsi="宋体" w:eastAsia="宋体" w:cs="宋体"/>
          <w:sz w:val="24"/>
          <w:szCs w:val="24"/>
        </w:rPr>
      </w:pPr>
      <w:r>
        <w:rPr>
          <w:rFonts w:hint="eastAsia" w:ascii="仿宋_GB2312" w:hAnsi="宋体" w:eastAsia="仿宋_GB2312" w:cs="仿宋_GB2312"/>
          <w:sz w:val="32"/>
          <w:szCs w:val="32"/>
        </w:rPr>
        <w:t>经我局执法监察支队</w:t>
      </w:r>
      <w:r>
        <w:rPr>
          <w:rFonts w:hint="eastAsia" w:ascii="宋体" w:hAnsi="宋体" w:eastAsia="宋体" w:cs="宋体"/>
          <w:sz w:val="32"/>
          <w:szCs w:val="32"/>
        </w:rPr>
        <w:t>2016</w:t>
      </w:r>
      <w:r>
        <w:rPr>
          <w:rFonts w:hint="eastAsia" w:ascii="仿宋_GB2312" w:hAnsi="宋体" w:eastAsia="仿宋_GB2312" w:cs="仿宋_GB2312"/>
          <w:sz w:val="32"/>
          <w:szCs w:val="32"/>
        </w:rPr>
        <w:t>年</w:t>
      </w:r>
      <w:r>
        <w:rPr>
          <w:rFonts w:hint="eastAsia" w:ascii="宋体" w:hAnsi="宋体" w:eastAsia="宋体" w:cs="宋体"/>
          <w:sz w:val="32"/>
          <w:szCs w:val="32"/>
        </w:rPr>
        <w:t>9</w:t>
      </w:r>
      <w:r>
        <w:rPr>
          <w:rFonts w:hint="eastAsia" w:ascii="仿宋_GB2312" w:hAnsi="宋体" w:eastAsia="仿宋_GB2312" w:cs="仿宋_GB2312"/>
          <w:sz w:val="32"/>
          <w:szCs w:val="32"/>
        </w:rPr>
        <w:t>月</w:t>
      </w:r>
      <w:r>
        <w:rPr>
          <w:rFonts w:hint="eastAsia" w:ascii="宋体" w:hAnsi="宋体" w:eastAsia="宋体" w:cs="宋体"/>
          <w:sz w:val="32"/>
          <w:szCs w:val="32"/>
        </w:rPr>
        <w:t>30</w:t>
      </w:r>
      <w:r>
        <w:rPr>
          <w:rFonts w:hint="eastAsia" w:ascii="仿宋_GB2312" w:hAnsi="宋体" w:eastAsia="仿宋_GB2312" w:cs="仿宋_GB2312"/>
          <w:sz w:val="32"/>
          <w:szCs w:val="32"/>
        </w:rPr>
        <w:t>日调查发现，当事人建设的坦尾村陈富六亩</w:t>
      </w:r>
      <w:r>
        <w:rPr>
          <w:rFonts w:hint="eastAsia" w:ascii="宋体" w:hAnsi="宋体" w:eastAsia="宋体" w:cs="宋体"/>
          <w:sz w:val="32"/>
          <w:szCs w:val="32"/>
        </w:rPr>
        <w:t>1</w:t>
      </w:r>
      <w:r>
        <w:rPr>
          <w:rFonts w:hint="eastAsia" w:ascii="仿宋_GB2312" w:hAnsi="宋体" w:eastAsia="仿宋_GB2312" w:cs="仿宋_GB2312"/>
          <w:sz w:val="32"/>
          <w:szCs w:val="32"/>
        </w:rPr>
        <w:t>幢</w:t>
      </w:r>
      <w:r>
        <w:rPr>
          <w:rFonts w:hint="eastAsia" w:ascii="宋体" w:hAnsi="宋体" w:eastAsia="宋体" w:cs="宋体"/>
          <w:sz w:val="32"/>
          <w:szCs w:val="32"/>
        </w:rPr>
        <w:t>10</w:t>
      </w:r>
      <w:r>
        <w:rPr>
          <w:rFonts w:hint="eastAsia" w:ascii="仿宋_GB2312" w:hAnsi="宋体" w:eastAsia="仿宋_GB2312" w:cs="仿宋_GB2312"/>
          <w:sz w:val="32"/>
          <w:szCs w:val="32"/>
        </w:rPr>
        <w:t>层住宅、市场综合楼建设项目环评文件于</w:t>
      </w:r>
      <w:r>
        <w:rPr>
          <w:rFonts w:hint="eastAsia" w:ascii="宋体" w:hAnsi="宋体" w:eastAsia="宋体" w:cs="宋体"/>
          <w:sz w:val="32"/>
          <w:szCs w:val="32"/>
        </w:rPr>
        <w:t>2007</w:t>
      </w:r>
      <w:r>
        <w:rPr>
          <w:rFonts w:hint="eastAsia" w:ascii="仿宋_GB2312" w:hAnsi="宋体" w:eastAsia="仿宋_GB2312" w:cs="仿宋_GB2312"/>
          <w:sz w:val="32"/>
          <w:szCs w:val="32"/>
        </w:rPr>
        <w:t>年</w:t>
      </w:r>
      <w:r>
        <w:rPr>
          <w:rFonts w:hint="eastAsia" w:ascii="宋体" w:hAnsi="宋体" w:eastAsia="宋体" w:cs="宋体"/>
          <w:sz w:val="32"/>
          <w:szCs w:val="32"/>
        </w:rPr>
        <w:t>4</w:t>
      </w:r>
      <w:r>
        <w:rPr>
          <w:rFonts w:hint="eastAsia" w:ascii="仿宋_GB2312" w:hAnsi="宋体" w:eastAsia="仿宋_GB2312" w:cs="仿宋_GB2312"/>
          <w:sz w:val="32"/>
          <w:szCs w:val="32"/>
        </w:rPr>
        <w:t>月</w:t>
      </w:r>
      <w:r>
        <w:rPr>
          <w:rFonts w:hint="eastAsia" w:ascii="宋体" w:hAnsi="宋体" w:eastAsia="宋体" w:cs="宋体"/>
          <w:sz w:val="32"/>
          <w:szCs w:val="32"/>
        </w:rPr>
        <w:t>9</w:t>
      </w:r>
      <w:r>
        <w:rPr>
          <w:rFonts w:hint="eastAsia" w:ascii="仿宋_GB2312" w:hAnsi="宋体" w:eastAsia="仿宋_GB2312" w:cs="仿宋_GB2312"/>
          <w:sz w:val="32"/>
          <w:szCs w:val="32"/>
        </w:rPr>
        <w:t>日经我局穗环管影〔</w:t>
      </w:r>
      <w:r>
        <w:rPr>
          <w:rFonts w:hint="eastAsia" w:ascii="宋体" w:hAnsi="宋体" w:eastAsia="宋体" w:cs="宋体"/>
          <w:sz w:val="32"/>
          <w:szCs w:val="32"/>
        </w:rPr>
        <w:t>2007</w:t>
      </w:r>
      <w:r>
        <w:rPr>
          <w:rFonts w:hint="eastAsia" w:ascii="仿宋_GB2312" w:hAnsi="宋体" w:eastAsia="仿宋_GB2312" w:cs="仿宋_GB2312"/>
          <w:sz w:val="32"/>
          <w:szCs w:val="32"/>
        </w:rPr>
        <w:t>〕</w:t>
      </w:r>
      <w:r>
        <w:rPr>
          <w:rFonts w:hint="eastAsia" w:ascii="宋体" w:hAnsi="宋体" w:eastAsia="宋体" w:cs="宋体"/>
          <w:sz w:val="32"/>
          <w:szCs w:val="32"/>
        </w:rPr>
        <w:t>104</w:t>
      </w:r>
      <w:r>
        <w:rPr>
          <w:rFonts w:hint="eastAsia" w:ascii="仿宋_GB2312" w:hAnsi="宋体" w:eastAsia="仿宋_GB2312" w:cs="仿宋_GB2312"/>
          <w:sz w:val="32"/>
          <w:szCs w:val="32"/>
        </w:rPr>
        <w:t>号批复同意；上述建设项目产生的生活污水经三级化粪池处理后接驳入市政污水管网，各项污染治理设施正常运行；该建设项目于</w:t>
      </w:r>
      <w:r>
        <w:rPr>
          <w:rFonts w:hint="eastAsia" w:ascii="宋体" w:hAnsi="宋体" w:eastAsia="宋体" w:cs="宋体"/>
          <w:sz w:val="32"/>
          <w:szCs w:val="32"/>
        </w:rPr>
        <w:t>2008</w:t>
      </w:r>
      <w:r>
        <w:rPr>
          <w:rFonts w:hint="eastAsia" w:ascii="仿宋_GB2312" w:hAnsi="宋体" w:eastAsia="仿宋_GB2312" w:cs="仿宋_GB2312"/>
          <w:sz w:val="32"/>
          <w:szCs w:val="32"/>
        </w:rPr>
        <w:t>年</w:t>
      </w:r>
      <w:r>
        <w:rPr>
          <w:rFonts w:hint="eastAsia" w:ascii="宋体" w:hAnsi="宋体" w:eastAsia="宋体" w:cs="宋体"/>
          <w:sz w:val="32"/>
          <w:szCs w:val="32"/>
        </w:rPr>
        <w:t>7</w:t>
      </w:r>
      <w:r>
        <w:rPr>
          <w:rFonts w:hint="eastAsia" w:ascii="仿宋_GB2312" w:hAnsi="宋体" w:eastAsia="仿宋_GB2312" w:cs="仿宋_GB2312"/>
          <w:sz w:val="32"/>
          <w:szCs w:val="32"/>
        </w:rPr>
        <w:t>月开工建设，</w:t>
      </w:r>
      <w:r>
        <w:rPr>
          <w:rFonts w:hint="eastAsia" w:ascii="宋体" w:hAnsi="宋体" w:eastAsia="宋体" w:cs="宋体"/>
          <w:sz w:val="32"/>
          <w:szCs w:val="32"/>
        </w:rPr>
        <w:t>2010</w:t>
      </w:r>
      <w:r>
        <w:rPr>
          <w:rFonts w:hint="eastAsia" w:ascii="仿宋_GB2312" w:hAnsi="宋体" w:eastAsia="仿宋_GB2312" w:cs="仿宋_GB2312"/>
          <w:sz w:val="32"/>
          <w:szCs w:val="32"/>
        </w:rPr>
        <w:t>年</w:t>
      </w:r>
      <w:r>
        <w:rPr>
          <w:rFonts w:hint="eastAsia" w:ascii="宋体" w:hAnsi="宋体" w:eastAsia="宋体" w:cs="宋体"/>
          <w:sz w:val="32"/>
          <w:szCs w:val="32"/>
        </w:rPr>
        <w:t>2</w:t>
      </w:r>
      <w:r>
        <w:rPr>
          <w:rFonts w:hint="eastAsia" w:ascii="仿宋_GB2312" w:hAnsi="宋体" w:eastAsia="仿宋_GB2312" w:cs="仿宋_GB2312"/>
          <w:sz w:val="32"/>
          <w:szCs w:val="32"/>
        </w:rPr>
        <w:t>月建设完工，</w:t>
      </w:r>
      <w:r>
        <w:rPr>
          <w:rFonts w:hint="eastAsia" w:ascii="宋体" w:hAnsi="宋体" w:eastAsia="宋体" w:cs="宋体"/>
          <w:sz w:val="32"/>
          <w:szCs w:val="32"/>
        </w:rPr>
        <w:t>2010</w:t>
      </w:r>
      <w:r>
        <w:rPr>
          <w:rFonts w:hint="eastAsia" w:ascii="仿宋_GB2312" w:hAnsi="宋体" w:eastAsia="仿宋_GB2312" w:cs="仿宋_GB2312"/>
          <w:sz w:val="32"/>
          <w:szCs w:val="32"/>
        </w:rPr>
        <w:t>年</w:t>
      </w:r>
      <w:r>
        <w:rPr>
          <w:rFonts w:hint="eastAsia" w:ascii="宋体" w:hAnsi="宋体" w:eastAsia="宋体" w:cs="宋体"/>
          <w:sz w:val="32"/>
          <w:szCs w:val="32"/>
        </w:rPr>
        <w:t>3</w:t>
      </w:r>
      <w:r>
        <w:rPr>
          <w:rFonts w:hint="eastAsia" w:ascii="仿宋_GB2312" w:hAnsi="宋体" w:eastAsia="仿宋_GB2312" w:cs="仿宋_GB2312"/>
          <w:sz w:val="32"/>
          <w:szCs w:val="32"/>
        </w:rPr>
        <w:t>月投入使用至今，尚未完成该建设项目需配套建设的环境保护设施竣工验收手续。</w:t>
      </w:r>
    </w:p>
    <w:p>
      <w:pPr>
        <w:pStyle w:val="2"/>
        <w:keepNext w:val="0"/>
        <w:keepLines w:val="0"/>
        <w:widowControl/>
        <w:suppressLineNumbers w:val="0"/>
        <w:spacing w:before="0" w:beforeAutospacing="0" w:after="0" w:afterAutospacing="0" w:line="480" w:lineRule="atLeast"/>
        <w:ind w:left="0" w:firstLine="640"/>
        <w:rPr>
          <w:rFonts w:hint="eastAsia" w:ascii="宋体" w:hAnsi="宋体" w:eastAsia="宋体" w:cs="宋体"/>
          <w:sz w:val="24"/>
          <w:szCs w:val="24"/>
        </w:rPr>
      </w:pPr>
      <w:r>
        <w:rPr>
          <w:rFonts w:hint="eastAsia" w:ascii="仿宋_GB2312" w:hAnsi="宋体" w:eastAsia="仿宋_GB2312" w:cs="仿宋_GB2312"/>
          <w:sz w:val="32"/>
          <w:szCs w:val="32"/>
        </w:rPr>
        <w:t>以上事实，有《询问笔录》、《现场检查笔录》等证据为证。</w:t>
      </w:r>
    </w:p>
    <w:p>
      <w:pPr>
        <w:pStyle w:val="2"/>
        <w:keepNext w:val="0"/>
        <w:keepLines w:val="0"/>
        <w:widowControl/>
        <w:suppressLineNumbers w:val="0"/>
        <w:snapToGrid w:val="0"/>
        <w:spacing w:before="0" w:beforeAutospacing="0" w:after="0" w:afterAutospacing="0" w:line="480" w:lineRule="atLeast"/>
        <w:ind w:left="0" w:firstLine="640"/>
        <w:rPr>
          <w:rFonts w:hint="eastAsia" w:ascii="宋体" w:hAnsi="宋体" w:eastAsia="宋体" w:cs="宋体"/>
          <w:sz w:val="24"/>
          <w:szCs w:val="24"/>
        </w:rPr>
      </w:pPr>
      <w:r>
        <w:rPr>
          <w:rFonts w:hint="eastAsia" w:ascii="仿宋_GB2312" w:hAnsi="宋体" w:eastAsia="仿宋_GB2312" w:cs="仿宋_GB2312"/>
          <w:sz w:val="32"/>
          <w:szCs w:val="32"/>
        </w:rPr>
        <w:t>当事人上述行为违反了《建设项目环境保护管理条例》第二十三条的规定。</w:t>
      </w:r>
    </w:p>
    <w:p>
      <w:pPr>
        <w:pStyle w:val="2"/>
        <w:keepNext w:val="0"/>
        <w:keepLines w:val="0"/>
        <w:widowControl/>
        <w:suppressLineNumbers w:val="0"/>
        <w:spacing w:before="0" w:beforeAutospacing="0" w:after="0" w:afterAutospacing="0" w:line="480" w:lineRule="atLeast"/>
        <w:ind w:left="0" w:firstLine="640"/>
        <w:rPr>
          <w:rFonts w:hint="eastAsia" w:ascii="宋体" w:hAnsi="宋体" w:eastAsia="宋体" w:cs="宋体"/>
          <w:sz w:val="24"/>
          <w:szCs w:val="24"/>
        </w:rPr>
      </w:pPr>
      <w:r>
        <w:rPr>
          <w:rFonts w:hint="eastAsia" w:ascii="宋体" w:hAnsi="宋体" w:eastAsia="宋体" w:cs="宋体"/>
          <w:sz w:val="32"/>
          <w:szCs w:val="32"/>
        </w:rPr>
        <w:t>2016</w:t>
      </w:r>
      <w:r>
        <w:rPr>
          <w:rFonts w:hint="eastAsia" w:ascii="仿宋_GB2312" w:hAnsi="宋体" w:eastAsia="仿宋_GB2312" w:cs="仿宋_GB2312"/>
          <w:sz w:val="32"/>
          <w:szCs w:val="32"/>
        </w:rPr>
        <w:t>年</w:t>
      </w:r>
      <w:r>
        <w:rPr>
          <w:rFonts w:hint="eastAsia" w:ascii="宋体" w:hAnsi="宋体" w:eastAsia="宋体" w:cs="宋体"/>
          <w:sz w:val="32"/>
          <w:szCs w:val="32"/>
        </w:rPr>
        <w:t>12</w:t>
      </w:r>
      <w:r>
        <w:rPr>
          <w:rFonts w:hint="eastAsia" w:ascii="仿宋_GB2312" w:hAnsi="宋体" w:eastAsia="仿宋_GB2312" w:cs="仿宋_GB2312"/>
          <w:sz w:val="32"/>
          <w:szCs w:val="32"/>
        </w:rPr>
        <w:t>月</w:t>
      </w:r>
      <w:r>
        <w:rPr>
          <w:rFonts w:hint="eastAsia" w:ascii="宋体" w:hAnsi="宋体" w:eastAsia="宋体" w:cs="宋体"/>
          <w:sz w:val="32"/>
          <w:szCs w:val="32"/>
        </w:rPr>
        <w:t>22</w:t>
      </w:r>
      <w:r>
        <w:rPr>
          <w:rFonts w:hint="eastAsia" w:ascii="仿宋_GB2312" w:hAnsi="宋体" w:eastAsia="仿宋_GB2312" w:cs="仿宋_GB2312"/>
          <w:sz w:val="32"/>
          <w:szCs w:val="32"/>
        </w:rPr>
        <w:t>日，我局作出《行政处罚告知书》（穗环法告〔</w:t>
      </w:r>
      <w:r>
        <w:rPr>
          <w:rFonts w:hint="eastAsia" w:ascii="宋体" w:hAnsi="宋体" w:eastAsia="宋体" w:cs="宋体"/>
          <w:sz w:val="32"/>
          <w:szCs w:val="32"/>
        </w:rPr>
        <w:t>2016</w:t>
      </w:r>
      <w:r>
        <w:rPr>
          <w:rFonts w:hint="eastAsia" w:ascii="仿宋_GB2312" w:hAnsi="宋体" w:eastAsia="仿宋_GB2312" w:cs="仿宋_GB2312"/>
          <w:sz w:val="32"/>
          <w:szCs w:val="32"/>
        </w:rPr>
        <w:t>〕</w:t>
      </w:r>
      <w:r>
        <w:rPr>
          <w:rFonts w:hint="eastAsia" w:ascii="宋体" w:hAnsi="宋体" w:eastAsia="宋体" w:cs="宋体"/>
          <w:sz w:val="32"/>
          <w:szCs w:val="32"/>
        </w:rPr>
        <w:t>179</w:t>
      </w:r>
      <w:r>
        <w:rPr>
          <w:rFonts w:hint="eastAsia" w:ascii="仿宋_GB2312" w:hAnsi="宋体" w:eastAsia="仿宋_GB2312" w:cs="仿宋_GB2312"/>
          <w:sz w:val="32"/>
          <w:szCs w:val="32"/>
        </w:rPr>
        <w:t>号），并于同年</w:t>
      </w:r>
      <w:r>
        <w:rPr>
          <w:rFonts w:hint="eastAsia" w:ascii="宋体" w:hAnsi="宋体" w:eastAsia="宋体" w:cs="宋体"/>
          <w:sz w:val="32"/>
          <w:szCs w:val="32"/>
        </w:rPr>
        <w:t>12</w:t>
      </w:r>
      <w:r>
        <w:rPr>
          <w:rFonts w:hint="eastAsia" w:ascii="仿宋_GB2312" w:hAnsi="宋体" w:eastAsia="仿宋_GB2312" w:cs="仿宋_GB2312"/>
          <w:sz w:val="32"/>
          <w:szCs w:val="32"/>
        </w:rPr>
        <w:t>月</w:t>
      </w:r>
      <w:r>
        <w:rPr>
          <w:rFonts w:hint="eastAsia" w:ascii="宋体" w:hAnsi="宋体" w:eastAsia="宋体" w:cs="宋体"/>
          <w:sz w:val="32"/>
          <w:szCs w:val="32"/>
        </w:rPr>
        <w:t>27</w:t>
      </w:r>
      <w:r>
        <w:rPr>
          <w:rFonts w:hint="eastAsia" w:ascii="仿宋_GB2312" w:hAnsi="宋体" w:eastAsia="仿宋_GB2312" w:cs="仿宋_GB2312"/>
          <w:sz w:val="32"/>
          <w:szCs w:val="32"/>
        </w:rPr>
        <w:t>日送达当事人。</w:t>
      </w:r>
      <w:r>
        <w:rPr>
          <w:rFonts w:hint="eastAsia" w:ascii="宋体" w:hAnsi="宋体" w:eastAsia="宋体" w:cs="宋体"/>
          <w:sz w:val="32"/>
          <w:szCs w:val="32"/>
        </w:rPr>
        <w:t>2016</w:t>
      </w:r>
      <w:r>
        <w:rPr>
          <w:rFonts w:hint="eastAsia" w:ascii="仿宋_GB2312" w:hAnsi="宋体" w:eastAsia="仿宋_GB2312" w:cs="仿宋_GB2312"/>
          <w:sz w:val="32"/>
          <w:szCs w:val="32"/>
        </w:rPr>
        <w:t>年</w:t>
      </w:r>
      <w:r>
        <w:rPr>
          <w:rFonts w:hint="eastAsia" w:ascii="宋体" w:hAnsi="宋体" w:eastAsia="宋体" w:cs="宋体"/>
          <w:sz w:val="32"/>
          <w:szCs w:val="32"/>
        </w:rPr>
        <w:t>12</w:t>
      </w:r>
      <w:r>
        <w:rPr>
          <w:rFonts w:hint="eastAsia" w:ascii="仿宋_GB2312" w:hAnsi="宋体" w:eastAsia="仿宋_GB2312" w:cs="仿宋_GB2312"/>
          <w:sz w:val="32"/>
          <w:szCs w:val="32"/>
        </w:rPr>
        <w:t>月</w:t>
      </w:r>
      <w:r>
        <w:rPr>
          <w:rFonts w:hint="eastAsia" w:ascii="宋体" w:hAnsi="宋体" w:eastAsia="宋体" w:cs="宋体"/>
          <w:sz w:val="32"/>
          <w:szCs w:val="32"/>
        </w:rPr>
        <w:t>30</w:t>
      </w:r>
      <w:r>
        <w:rPr>
          <w:rFonts w:hint="eastAsia" w:ascii="仿宋_GB2312" w:hAnsi="宋体" w:eastAsia="仿宋_GB2312" w:cs="仿宋_GB2312"/>
          <w:sz w:val="32"/>
          <w:szCs w:val="32"/>
        </w:rPr>
        <w:t>日，当事人向我局提出书面陈述申辩意见。当事人申辩称：大楼住户全部为坦尾村村民回迁住户，是纯村民住宅大楼，大楼的红线范围内有几户村民住宅，由于当时刚开始进行</w:t>
      </w:r>
      <w:r>
        <w:rPr>
          <w:rFonts w:hint="eastAsia" w:ascii="宋体" w:hAnsi="宋体" w:eastAsia="宋体" w:cs="宋体"/>
          <w:sz w:val="32"/>
          <w:szCs w:val="32"/>
        </w:rPr>
        <w:t>“</w:t>
      </w:r>
      <w:r>
        <w:rPr>
          <w:rFonts w:hint="eastAsia" w:ascii="仿宋_GB2312" w:hAnsi="宋体" w:eastAsia="仿宋_GB2312" w:cs="仿宋_GB2312"/>
          <w:sz w:val="32"/>
          <w:szCs w:val="32"/>
        </w:rPr>
        <w:t>城中村</w:t>
      </w:r>
      <w:r>
        <w:rPr>
          <w:rFonts w:hint="eastAsia" w:ascii="宋体" w:hAnsi="宋体" w:eastAsia="宋体" w:cs="宋体"/>
          <w:sz w:val="32"/>
          <w:szCs w:val="32"/>
        </w:rPr>
        <w:t>”</w:t>
      </w:r>
      <w:r>
        <w:rPr>
          <w:rFonts w:hint="eastAsia" w:ascii="仿宋_GB2312" w:hAnsi="宋体" w:eastAsia="仿宋_GB2312" w:cs="仿宋_GB2312"/>
          <w:sz w:val="32"/>
          <w:szCs w:val="32"/>
        </w:rPr>
        <w:t>改造原因，未能及时进行规划验收。经审理，我局认为当事人未验先投的违法事实清楚，应当予以行政处罚。现本案经我局审查结束。</w:t>
      </w:r>
    </w:p>
    <w:p>
      <w:pPr>
        <w:pStyle w:val="2"/>
        <w:keepNext w:val="0"/>
        <w:keepLines w:val="0"/>
        <w:widowControl/>
        <w:suppressLineNumbers w:val="0"/>
        <w:spacing w:before="0" w:beforeAutospacing="0" w:after="0" w:afterAutospacing="0" w:line="480" w:lineRule="atLeast"/>
        <w:ind w:left="0" w:firstLine="640"/>
        <w:rPr>
          <w:rFonts w:hint="eastAsia" w:ascii="宋体" w:hAnsi="宋体" w:eastAsia="宋体" w:cs="宋体"/>
          <w:sz w:val="24"/>
          <w:szCs w:val="24"/>
        </w:rPr>
      </w:pPr>
      <w:r>
        <w:rPr>
          <w:rFonts w:hint="eastAsia" w:ascii="仿宋_GB2312" w:hAnsi="宋体" w:eastAsia="仿宋_GB2312" w:cs="仿宋_GB2312"/>
          <w:sz w:val="32"/>
          <w:szCs w:val="32"/>
        </w:rPr>
        <w:t>我局依据《中华人民共和国行政处罚法》第二十三条、《建设项目环境保护管理条例》第二十八条及《广州市环境保护局规范行政处罚自由裁量权规定》附件《环境违法行为行政处罚自由裁量适用标准》第</w:t>
      </w:r>
      <w:r>
        <w:rPr>
          <w:rFonts w:hint="eastAsia" w:ascii="宋体" w:hAnsi="宋体" w:eastAsia="宋体" w:cs="宋体"/>
          <w:sz w:val="32"/>
          <w:szCs w:val="32"/>
        </w:rPr>
        <w:t>8</w:t>
      </w:r>
      <w:r>
        <w:rPr>
          <w:rFonts w:hint="eastAsia" w:ascii="仿宋_GB2312" w:hAnsi="宋体" w:eastAsia="仿宋_GB2312" w:cs="仿宋_GB2312"/>
          <w:sz w:val="32"/>
          <w:szCs w:val="32"/>
        </w:rPr>
        <w:t>（</w:t>
      </w:r>
      <w:r>
        <w:rPr>
          <w:rFonts w:hint="eastAsia" w:ascii="宋体" w:hAnsi="宋体" w:eastAsia="宋体" w:cs="宋体"/>
          <w:sz w:val="32"/>
          <w:szCs w:val="32"/>
        </w:rPr>
        <w:t>2</w:t>
      </w:r>
      <w:r>
        <w:rPr>
          <w:rFonts w:hint="eastAsia" w:ascii="仿宋_GB2312" w:hAnsi="宋体" w:eastAsia="仿宋_GB2312" w:cs="仿宋_GB2312"/>
          <w:sz w:val="32"/>
          <w:szCs w:val="32"/>
        </w:rPr>
        <w:t>）（</w:t>
      </w:r>
      <w:r>
        <w:rPr>
          <w:rFonts w:hint="eastAsia" w:ascii="宋体" w:hAnsi="宋体" w:eastAsia="宋体" w:cs="宋体"/>
          <w:sz w:val="32"/>
          <w:szCs w:val="32"/>
        </w:rPr>
        <w:t>A</w:t>
      </w:r>
      <w:r>
        <w:rPr>
          <w:rFonts w:hint="eastAsia" w:ascii="仿宋_GB2312" w:hAnsi="宋体" w:eastAsia="仿宋_GB2312" w:cs="仿宋_GB2312"/>
          <w:sz w:val="32"/>
          <w:szCs w:val="32"/>
        </w:rPr>
        <w:t>）（</w:t>
      </w:r>
      <w:r>
        <w:rPr>
          <w:rFonts w:hint="eastAsia" w:ascii="宋体" w:hAnsi="宋体" w:eastAsia="宋体" w:cs="宋体"/>
          <w:sz w:val="32"/>
          <w:szCs w:val="32"/>
        </w:rPr>
        <w:t>c</w:t>
      </w:r>
      <w:r>
        <w:rPr>
          <w:rFonts w:hint="eastAsia" w:ascii="仿宋_GB2312" w:hAnsi="宋体" w:eastAsia="仿宋_GB2312" w:cs="仿宋_GB2312"/>
          <w:sz w:val="32"/>
          <w:szCs w:val="32"/>
        </w:rPr>
        <w:t>）项的规定，责令当事人立即改正违法行为，完成涉案建设项目需配套建设的环境保护设施竣工验收手续，并作出处罚如下：</w:t>
      </w:r>
    </w:p>
    <w:p>
      <w:pPr>
        <w:pStyle w:val="2"/>
        <w:keepNext w:val="0"/>
        <w:keepLines w:val="0"/>
        <w:widowControl/>
        <w:suppressLineNumbers w:val="0"/>
        <w:spacing w:before="0" w:beforeAutospacing="0" w:after="0" w:afterAutospacing="0" w:line="480" w:lineRule="atLeast"/>
        <w:ind w:left="0" w:firstLine="640"/>
        <w:rPr>
          <w:rFonts w:hint="eastAsia" w:ascii="宋体" w:hAnsi="宋体" w:eastAsia="宋体" w:cs="宋体"/>
          <w:sz w:val="24"/>
          <w:szCs w:val="24"/>
        </w:rPr>
      </w:pPr>
      <w:r>
        <w:rPr>
          <w:rFonts w:hint="eastAsia" w:ascii="仿宋_GB2312" w:hAnsi="宋体" w:eastAsia="仿宋_GB2312" w:cs="仿宋_GB2312"/>
          <w:sz w:val="32"/>
          <w:szCs w:val="32"/>
        </w:rPr>
        <w:t>罚款</w:t>
      </w:r>
      <w:r>
        <w:rPr>
          <w:rFonts w:hint="eastAsia" w:ascii="宋体" w:hAnsi="宋体" w:eastAsia="宋体" w:cs="宋体"/>
          <w:sz w:val="32"/>
          <w:szCs w:val="32"/>
        </w:rPr>
        <w:t>4</w:t>
      </w:r>
      <w:r>
        <w:rPr>
          <w:rFonts w:hint="eastAsia" w:ascii="仿宋_GB2312" w:hAnsi="宋体" w:eastAsia="仿宋_GB2312" w:cs="仿宋_GB2312"/>
          <w:sz w:val="32"/>
          <w:szCs w:val="32"/>
        </w:rPr>
        <w:t>万元。</w:t>
      </w:r>
    </w:p>
    <w:p>
      <w:pPr>
        <w:pStyle w:val="2"/>
        <w:keepNext w:val="0"/>
        <w:keepLines w:val="0"/>
        <w:widowControl/>
        <w:suppressLineNumbers w:val="0"/>
        <w:spacing w:before="0" w:beforeAutospacing="0" w:after="0" w:afterAutospacing="0" w:line="480" w:lineRule="atLeast"/>
        <w:ind w:left="0" w:firstLine="640"/>
        <w:rPr>
          <w:rFonts w:hint="eastAsia" w:ascii="宋体" w:hAnsi="宋体" w:eastAsia="宋体" w:cs="宋体"/>
          <w:sz w:val="24"/>
          <w:szCs w:val="24"/>
        </w:rPr>
      </w:pPr>
      <w:r>
        <w:rPr>
          <w:rFonts w:hint="eastAsia" w:ascii="仿宋_GB2312" w:hAnsi="宋体" w:eastAsia="仿宋_GB2312" w:cs="仿宋_GB2312"/>
          <w:sz w:val="32"/>
          <w:szCs w:val="32"/>
        </w:rPr>
        <w:t>限当事人在收到本处罚决定书之日起</w:t>
      </w:r>
      <w:r>
        <w:rPr>
          <w:rFonts w:hint="eastAsia" w:ascii="宋体" w:hAnsi="宋体" w:eastAsia="宋体" w:cs="宋体"/>
          <w:sz w:val="32"/>
          <w:szCs w:val="32"/>
        </w:rPr>
        <w:t>15</w:t>
      </w:r>
      <w:r>
        <w:rPr>
          <w:rFonts w:hint="eastAsia" w:ascii="仿宋_GB2312" w:hAnsi="宋体" w:eastAsia="仿宋_GB2312" w:cs="仿宋_GB2312"/>
          <w:sz w:val="32"/>
          <w:szCs w:val="32"/>
        </w:rPr>
        <w:t>日内，按照《广州市非税收入缴款通知书》的要求，将上述罚款缴到非税收入代收银行（工商银行、建设银行、广州银行、广州农村商业银行、中国银行、农业银行、邮政储蓄银行、交通银行、光大银行、中信银行、广发银行、浦发银行、华夏银行），收入项目编码：</w:t>
      </w:r>
      <w:r>
        <w:rPr>
          <w:rFonts w:hint="eastAsia" w:ascii="宋体" w:hAnsi="宋体" w:eastAsia="宋体" w:cs="宋体"/>
          <w:sz w:val="32"/>
          <w:szCs w:val="32"/>
        </w:rPr>
        <w:t>3124</w:t>
      </w:r>
      <w:r>
        <w:rPr>
          <w:rFonts w:hint="eastAsia" w:ascii="仿宋_GB2312" w:hAnsi="宋体" w:eastAsia="仿宋_GB2312" w:cs="仿宋_GB2312"/>
          <w:sz w:val="32"/>
          <w:szCs w:val="32"/>
        </w:rPr>
        <w:t>。</w:t>
      </w:r>
    </w:p>
    <w:p>
      <w:pPr>
        <w:pStyle w:val="2"/>
        <w:keepNext w:val="0"/>
        <w:keepLines w:val="0"/>
        <w:widowControl/>
        <w:suppressLineNumbers w:val="0"/>
        <w:spacing w:before="0" w:beforeAutospacing="0" w:after="0" w:afterAutospacing="0" w:line="480" w:lineRule="atLeast"/>
        <w:ind w:left="0" w:firstLine="640"/>
        <w:rPr>
          <w:rFonts w:hint="eastAsia" w:ascii="宋体" w:hAnsi="宋体" w:eastAsia="宋体" w:cs="宋体"/>
          <w:sz w:val="24"/>
          <w:szCs w:val="24"/>
        </w:rPr>
      </w:pPr>
      <w:r>
        <w:rPr>
          <w:rFonts w:hint="eastAsia" w:ascii="仿宋_GB2312" w:hAnsi="宋体" w:eastAsia="仿宋_GB2312" w:cs="仿宋_GB2312"/>
          <w:sz w:val="32"/>
          <w:szCs w:val="32"/>
        </w:rPr>
        <w:t>如不服上述行政处罚决定，可在接到本处罚决定书之日起</w:t>
      </w:r>
      <w:r>
        <w:rPr>
          <w:rFonts w:hint="eastAsia" w:ascii="宋体" w:hAnsi="宋体" w:eastAsia="宋体" w:cs="宋体"/>
          <w:sz w:val="32"/>
          <w:szCs w:val="32"/>
        </w:rPr>
        <w:t>60</w:t>
      </w:r>
      <w:r>
        <w:rPr>
          <w:rFonts w:hint="eastAsia" w:ascii="仿宋_GB2312" w:hAnsi="宋体" w:eastAsia="仿宋_GB2312" w:cs="仿宋_GB2312"/>
          <w:sz w:val="32"/>
          <w:szCs w:val="32"/>
        </w:rPr>
        <w:t>日内，向广州市人民政府或广东省环境保护厅提出行政复议申请，或在六个月内直接向有管辖权的人民法院提起行政诉讼。行政复议、行政诉讼期间内，不得停止本决定的履行。</w:t>
      </w:r>
    </w:p>
    <w:p>
      <w:pPr>
        <w:pStyle w:val="2"/>
        <w:keepNext w:val="0"/>
        <w:keepLines w:val="0"/>
        <w:widowControl/>
        <w:suppressLineNumbers w:val="0"/>
        <w:spacing w:before="0" w:beforeAutospacing="0" w:after="0" w:afterAutospacing="0" w:line="480" w:lineRule="atLeast"/>
        <w:ind w:left="0" w:firstLine="640"/>
        <w:rPr>
          <w:rFonts w:hint="eastAsia" w:ascii="宋体" w:hAnsi="宋体" w:eastAsia="宋体" w:cs="宋体"/>
          <w:sz w:val="24"/>
          <w:szCs w:val="24"/>
        </w:rPr>
      </w:pPr>
      <w:r>
        <w:rPr>
          <w:rFonts w:hint="eastAsia" w:ascii="仿宋_GB2312" w:hAnsi="宋体" w:eastAsia="仿宋_GB2312" w:cs="仿宋_GB2312"/>
          <w:sz w:val="32"/>
          <w:szCs w:val="32"/>
        </w:rPr>
        <w:t>逾期不履行本处罚决定，我局将申请人民法院强制执行，并按罚款额每日加处百分之三罚款。</w:t>
      </w:r>
    </w:p>
    <w:p>
      <w:pPr>
        <w:pStyle w:val="2"/>
        <w:keepNext w:val="0"/>
        <w:keepLines w:val="0"/>
        <w:widowControl/>
        <w:suppressLineNumbers w:val="0"/>
        <w:spacing w:before="0" w:beforeAutospacing="0" w:after="0" w:afterAutospacing="0" w:line="500" w:lineRule="atLeast"/>
        <w:ind w:left="0" w:firstLine="640"/>
        <w:rPr>
          <w:rFonts w:hint="eastAsia" w:ascii="宋体" w:hAnsi="宋体" w:eastAsia="宋体" w:cs="宋体"/>
          <w:sz w:val="24"/>
          <w:szCs w:val="24"/>
        </w:rPr>
      </w:pPr>
      <w:r>
        <w:rPr>
          <w:rFonts w:hint="eastAsia" w:ascii="宋体" w:hAnsi="宋体" w:eastAsia="宋体" w:cs="宋体"/>
          <w:sz w:val="24"/>
          <w:szCs w:val="24"/>
        </w:rPr>
        <w:t> </w:t>
      </w:r>
    </w:p>
    <w:p>
      <w:pPr>
        <w:pStyle w:val="2"/>
        <w:keepNext w:val="0"/>
        <w:keepLines w:val="0"/>
        <w:widowControl/>
        <w:suppressLineNumbers w:val="0"/>
        <w:spacing w:before="0" w:beforeAutospacing="0" w:after="0" w:afterAutospacing="0" w:line="500" w:lineRule="atLeast"/>
        <w:ind w:left="0" w:firstLine="640"/>
        <w:rPr>
          <w:rFonts w:hint="eastAsia" w:ascii="宋体" w:hAnsi="宋体" w:eastAsia="宋体" w:cs="宋体"/>
          <w:sz w:val="24"/>
          <w:szCs w:val="24"/>
        </w:rPr>
      </w:pPr>
      <w:r>
        <w:rPr>
          <w:rFonts w:hint="eastAsia" w:ascii="宋体" w:hAnsi="宋体" w:eastAsia="宋体" w:cs="宋体"/>
          <w:sz w:val="24"/>
          <w:szCs w:val="24"/>
        </w:rPr>
        <w:t> </w:t>
      </w:r>
    </w:p>
    <w:p>
      <w:pPr>
        <w:pStyle w:val="2"/>
        <w:keepNext w:val="0"/>
        <w:keepLines w:val="0"/>
        <w:widowControl/>
        <w:suppressLineNumbers w:val="0"/>
        <w:snapToGrid w:val="0"/>
        <w:spacing w:before="0" w:beforeAutospacing="0" w:after="0" w:afterAutospacing="0" w:line="500" w:lineRule="atLeast"/>
        <w:ind w:right="968"/>
        <w:jc w:val="right"/>
        <w:rPr>
          <w:rFonts w:hint="eastAsia" w:ascii="宋体" w:hAnsi="宋体" w:eastAsia="宋体" w:cs="宋体"/>
          <w:sz w:val="24"/>
          <w:szCs w:val="24"/>
        </w:rPr>
      </w:pPr>
      <w:r>
        <w:rPr>
          <w:rFonts w:hint="eastAsia" w:ascii="仿宋_GB2312" w:hAnsi="宋体" w:eastAsia="仿宋_GB2312" w:cs="仿宋_GB2312"/>
          <w:sz w:val="32"/>
          <w:szCs w:val="32"/>
        </w:rPr>
        <w:t>广州市环境保护局</w:t>
      </w:r>
    </w:p>
    <w:p>
      <w:pPr>
        <w:pStyle w:val="2"/>
        <w:keepNext w:val="0"/>
        <w:keepLines w:val="0"/>
        <w:widowControl/>
        <w:suppressLineNumbers w:val="0"/>
        <w:snapToGrid w:val="0"/>
        <w:spacing w:before="0" w:beforeAutospacing="0" w:after="0" w:afterAutospacing="0" w:line="500" w:lineRule="atLeast"/>
        <w:ind w:right="968"/>
        <w:jc w:val="right"/>
        <w:rPr>
          <w:rFonts w:hint="eastAsia" w:ascii="宋体" w:hAnsi="宋体" w:eastAsia="宋体" w:cs="宋体"/>
          <w:sz w:val="24"/>
          <w:szCs w:val="24"/>
        </w:rPr>
      </w:pPr>
      <w:r>
        <w:rPr>
          <w:rFonts w:hint="eastAsia" w:ascii="宋体" w:hAnsi="宋体" w:eastAsia="宋体" w:cs="宋体"/>
          <w:sz w:val="32"/>
          <w:szCs w:val="32"/>
        </w:rPr>
        <w:t>2017</w:t>
      </w:r>
      <w:r>
        <w:rPr>
          <w:rFonts w:hint="eastAsia" w:ascii="仿宋_GB2312" w:hAnsi="宋体" w:eastAsia="仿宋_GB2312" w:cs="仿宋_GB2312"/>
          <w:sz w:val="32"/>
          <w:szCs w:val="32"/>
        </w:rPr>
        <w:t>年</w:t>
      </w:r>
      <w:r>
        <w:rPr>
          <w:rFonts w:hint="eastAsia" w:ascii="宋体" w:hAnsi="宋体" w:eastAsia="宋体" w:cs="宋体"/>
          <w:sz w:val="32"/>
          <w:szCs w:val="32"/>
        </w:rPr>
        <w:t>1</w:t>
      </w:r>
      <w:r>
        <w:rPr>
          <w:rFonts w:hint="eastAsia" w:ascii="仿宋_GB2312" w:hAnsi="宋体" w:eastAsia="仿宋_GB2312" w:cs="仿宋_GB2312"/>
          <w:sz w:val="32"/>
          <w:szCs w:val="32"/>
        </w:rPr>
        <w:t>月</w:t>
      </w:r>
      <w:r>
        <w:rPr>
          <w:rFonts w:hint="eastAsia" w:ascii="宋体" w:hAnsi="宋体" w:eastAsia="宋体" w:cs="宋体"/>
          <w:sz w:val="32"/>
          <w:szCs w:val="32"/>
        </w:rPr>
        <w:t>13</w:t>
      </w:r>
      <w:r>
        <w:rPr>
          <w:rFonts w:hint="eastAsia" w:ascii="仿宋_GB2312" w:hAnsi="宋体" w:eastAsia="仿宋_GB2312" w:cs="仿宋_GB2312"/>
          <w:sz w:val="32"/>
          <w:szCs w:val="32"/>
        </w:rPr>
        <w:t>日</w:t>
      </w:r>
    </w:p>
    <w:p>
      <w:pPr>
        <w:pStyle w:val="2"/>
        <w:keepNext w:val="0"/>
        <w:keepLines w:val="0"/>
        <w:widowControl/>
        <w:suppressLineNumbers w:val="0"/>
        <w:spacing w:before="0" w:beforeAutospacing="0" w:after="0" w:afterAutospacing="0" w:line="500" w:lineRule="atLeast"/>
        <w:ind w:left="0" w:right="0"/>
        <w:jc w:val="left"/>
      </w:pPr>
      <w:r>
        <w:rPr>
          <w:rFonts w:ascii="黑体" w:hAnsi="宋体" w:eastAsia="黑体" w:cs="黑体"/>
        </w:rPr>
        <w:t> </w:t>
      </w:r>
      <w:r>
        <w:rPr>
          <w:rFonts w:hint="eastAsia" w:ascii="仿宋_GB2312" w:eastAsia="仿宋_GB2312" w:cs="仿宋_GB2312"/>
        </w:rPr>
        <w:t xml:space="preserve">    </w:t>
      </w:r>
    </w:p>
    <w:p>
      <w:pPr>
        <w:pStyle w:val="2"/>
        <w:keepNext w:val="0"/>
        <w:keepLines w:val="0"/>
        <w:widowControl/>
        <w:suppressLineNumbers w:val="0"/>
        <w:spacing w:before="0" w:beforeAutospacing="0" w:after="0" w:afterAutospacing="0" w:line="500" w:lineRule="atLeast"/>
        <w:ind w:left="0" w:right="0"/>
        <w:jc w:val="left"/>
      </w:pPr>
      <w:r>
        <w:rPr>
          <w:rFonts w:hint="eastAsia" w:ascii="仿宋_GB2312" w:eastAsia="仿宋_GB2312" w:cs="仿宋_GB2312"/>
          <w:sz w:val="32"/>
          <w:szCs w:val="32"/>
        </w:rPr>
        <w:t>  抄送：局环评处、执法监察支队，荔湾区环保局。</w:t>
      </w:r>
    </w:p>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EB1AB9"/>
    <w:rsid w:val="268D0943"/>
    <w:rsid w:val="5B744FC8"/>
    <w:rsid w:val="5FEB1A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0" w:after="0" w:afterAutospacing="0"/>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2019-01-30T08:33:00Z</dcterms:created>
  <dc:creator>黄文宇</dc:creator>
  <cp:lastModifiedBy>黄文宇</cp:lastModifiedBy>
  <dcterms:modified xsi:type="dcterms:W3CDTF">2019-01-30T08:33:41Z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