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7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广州供电局有限公司行政处罚案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7月21日调查发现，当事人建设的110kV太石扩建工程建设项目环评文件于2012年7月5日经我局穗环管影〔2012〕49号文批复同意，并于2015年6月建成并投入使用，该项目已配套建设隔声降噪治理设施、三级化粪池等，但至今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1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责令当事人立即改正违法行为，完成该建设项目需配套建设的环境保护设施竣工验收手续，并处罚款9万元。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广州供电局有限公司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91440101589527752M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甘霖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穗环法罚〔2017〕7号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当事人：广州供电局有限公司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91440101589527752M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址：广州市天河区天河南二路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</w:t>
      </w:r>
      <w:r>
        <w:rPr>
          <w:rFonts w:hint="eastAsia" w:ascii="宋体" w:hAnsi="宋体" w:eastAsia="宋体" w:cs="宋体"/>
          <w:sz w:val="32"/>
          <w:szCs w:val="32"/>
        </w:rPr>
        <w:t>110kV</w:t>
      </w:r>
      <w:r>
        <w:rPr>
          <w:rFonts w:hint="eastAsia" w:ascii="仿宋_GB2312" w:hAnsi="宋体" w:eastAsia="仿宋_GB2312" w:cs="仿宋_GB2312"/>
          <w:sz w:val="32"/>
          <w:szCs w:val="32"/>
        </w:rPr>
        <w:t>太石扩建工程建设项目环评文件于</w:t>
      </w:r>
      <w:r>
        <w:rPr>
          <w:rFonts w:hint="eastAsia" w:ascii="宋体" w:hAnsi="宋体" w:eastAsia="宋体" w:cs="宋体"/>
          <w:sz w:val="32"/>
          <w:szCs w:val="32"/>
        </w:rPr>
        <w:t>2012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2012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49</w:t>
      </w:r>
      <w:r>
        <w:rPr>
          <w:rFonts w:hint="eastAsia" w:ascii="仿宋_GB2312" w:hAnsi="宋体" w:eastAsia="仿宋_GB2312" w:cs="仿宋_GB2312"/>
          <w:sz w:val="32"/>
          <w:szCs w:val="32"/>
        </w:rPr>
        <w:t>号文批复同意，并于</w:t>
      </w:r>
      <w:r>
        <w:rPr>
          <w:rFonts w:hint="eastAsia" w:ascii="宋体" w:hAnsi="宋体" w:eastAsia="宋体" w:cs="宋体"/>
          <w:sz w:val="32"/>
          <w:szCs w:val="32"/>
        </w:rPr>
        <w:t>2015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月建成并投入使用，该项目已配套建设隔声降噪治理设施、三级化粪池等，但至今未完成该建设项目需配套建设的环境保护设施竣工验收手续。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当事人上述行为违反了《建设项目环境保护管理条例》第二十三条的规定。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日，我局作出《行政处罚听证告知书》（穗环法告〔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98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日送达当事人，当事人未在有效期限内提交书面申辩意见。现本案经我局审查结束。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）的规定，责令当事人立即改正违法行为，完成该建设项目需配套建设的环境保护设施竣工验收手续，并作出处罚如下：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宋体" w:hAnsi="宋体" w:eastAsia="宋体" w:cs="宋体"/>
          <w:snapToGrid w:val="0"/>
          <w:sz w:val="24"/>
          <w:szCs w:val="24"/>
        </w:rPr>
        <w:t xml:space="preserve">  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20" w:lineRule="exact"/>
        <w:ind w:left="0" w:right="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z w:val="28"/>
          <w:szCs w:val="32"/>
        </w:rPr>
        <w:t>  抄送：局环评处、执法监察支队，天河区环保局、南沙区环保水务局。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B30"/>
    <w:rsid w:val="1E254B30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2019-01-30T08:31:00Z</dcterms:created>
  <dc:creator>黄文宇</dc:creator>
  <cp:lastModifiedBy>黄文宇</cp:lastModifiedBy>
  <dcterms:modified xsi:type="dcterms:W3CDTF">2019-01-30T08:32:06Z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