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r>
        <w:rPr>
          <w:rFonts w:ascii="宋体" w:hAnsi="宋体" w:eastAsia="宋体" w:cs="宋体"/>
          <w:b/>
          <w:bCs/>
          <w:color w:val="102401"/>
          <w:kern w:val="0"/>
          <w:sz w:val="32"/>
          <w:szCs w:val="32"/>
        </w:rPr>
        <w:t>穗环法罚〔2017〕</w:t>
      </w:r>
      <w:r>
        <w:rPr>
          <w:rFonts w:hint="eastAsia" w:ascii="宋体" w:hAnsi="宋体" w:eastAsia="宋体" w:cs="宋体"/>
          <w:b/>
          <w:bCs/>
          <w:color w:val="102401"/>
          <w:kern w:val="0"/>
          <w:sz w:val="32"/>
          <w:szCs w:val="32"/>
          <w:lang w:val="en-US" w:eastAsia="zh-CN"/>
        </w:rPr>
        <w:t>6</w:t>
      </w:r>
      <w:r>
        <w:rPr>
          <w:rFonts w:ascii="宋体" w:hAnsi="宋体" w:eastAsia="宋体" w:cs="宋体"/>
          <w:b/>
          <w:bCs/>
          <w:color w:val="102401"/>
          <w:kern w:val="0"/>
          <w:sz w:val="32"/>
          <w:szCs w:val="32"/>
        </w:rPr>
        <w:t>号</w:t>
      </w:r>
    </w:p>
    <w:bookmarkEnd w:id="0"/>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xml:space="preserve">   </w:t>
      </w: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CellMar>
            <w:top w:w="0" w:type="dxa"/>
            <w:left w:w="108" w:type="dxa"/>
            <w:bottom w:w="0" w:type="dxa"/>
            <w:right w:w="108" w:type="dxa"/>
          </w:tblCellMar>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穗环法罚〔2017〕6号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广州快速交通建设有限公司行政处罚案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6月30日、8月11日调查发现，当事人管理的广州市白云新城匝道工程建设项目环评文件于2006年12月3日经我局穗环管影〔2006〕393号文批复同意，于2007年10月建成并投入使用，至今未完成该建设项目需配套建设的环境保护设施竣工验收手续。</w:t>
            </w:r>
          </w:p>
        </w:tc>
      </w:tr>
      <w:tr>
        <w:tblPrEx>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依据《中华人民共和国行政处罚法》第二十三条、《建设项目环境保护管理条例》第二十八条及《广州市环境保护局规范行政处罚自由裁量权规定》附件《环境违法行为行政处罚自由裁量适用标准》第8（2）（A）（c）的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责令当事人立即改正违法行为，完成该建设项目需配套建设的环境保护设施竣工验收手续，并处罚款4万元。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广州快速交通建设有限公司</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914401017163267000</w:t>
            </w:r>
          </w:p>
        </w:tc>
        <w:tc>
          <w:tcPr>
            <w:tcW w:w="144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李更新</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2017/1/9</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2017/1/9</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 xml:space="preserve">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Fonts w:hint="eastAsia" w:ascii="宋体" w:hAnsi="宋体" w:eastAsia="宋体" w:cs="宋体"/>
          <w:kern w:val="0"/>
          <w:sz w:val="32"/>
          <w:szCs w:val="32"/>
          <w:lang w:val="en-US" w:eastAsia="zh-CN" w:bidi="ar"/>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穗环法罚〔2017〕6号</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 xml:space="preserve">   </w:t>
      </w:r>
    </w:p>
    <w:p>
      <w:pPr>
        <w:pStyle w:val="2"/>
        <w:keepNext w:val="0"/>
        <w:keepLines w:val="0"/>
        <w:widowControl/>
        <w:suppressLineNumbers w:val="0"/>
        <w:spacing w:before="0" w:beforeAutospacing="0" w:after="0" w:afterAutospacing="0" w:line="520" w:lineRule="atLeast"/>
        <w:rPr>
          <w:rFonts w:hint="eastAsia" w:ascii="宋体" w:hAnsi="宋体" w:eastAsia="宋体" w:cs="宋体"/>
          <w:sz w:val="24"/>
          <w:szCs w:val="24"/>
        </w:rPr>
      </w:pPr>
      <w:r>
        <w:rPr>
          <w:rFonts w:ascii="仿宋_GB2312" w:hAnsi="宋体" w:eastAsia="仿宋_GB2312" w:cs="仿宋_GB2312"/>
          <w:sz w:val="32"/>
          <w:szCs w:val="32"/>
        </w:rPr>
        <w:t>当事人：广州快速交通建设有限公司</w:t>
      </w:r>
    </w:p>
    <w:p>
      <w:pPr>
        <w:pStyle w:val="2"/>
        <w:keepNext w:val="0"/>
        <w:keepLines w:val="0"/>
        <w:widowControl/>
        <w:suppressLineNumbers w:val="0"/>
        <w:spacing w:before="0" w:beforeAutospacing="0" w:after="0" w:afterAutospacing="0" w:line="520" w:lineRule="atLeast"/>
        <w:rPr>
          <w:rFonts w:hint="eastAsia" w:ascii="宋体" w:hAnsi="宋体" w:eastAsia="宋体" w:cs="宋体"/>
          <w:sz w:val="24"/>
          <w:szCs w:val="24"/>
        </w:rPr>
      </w:pPr>
      <w:r>
        <w:rPr>
          <w:rFonts w:hint="eastAsia" w:ascii="仿宋_GB2312" w:hAnsi="宋体" w:eastAsia="仿宋_GB2312" w:cs="仿宋_GB2312"/>
          <w:sz w:val="32"/>
          <w:szCs w:val="32"/>
        </w:rPr>
        <w:t>统一社会信用代码：</w:t>
      </w:r>
      <w:r>
        <w:rPr>
          <w:rFonts w:hint="eastAsia" w:ascii="宋体" w:hAnsi="宋体" w:eastAsia="宋体" w:cs="宋体"/>
          <w:sz w:val="32"/>
          <w:szCs w:val="32"/>
        </w:rPr>
        <w:t>914401017163267949</w:t>
      </w:r>
    </w:p>
    <w:p>
      <w:pPr>
        <w:pStyle w:val="2"/>
        <w:keepNext w:val="0"/>
        <w:keepLines w:val="0"/>
        <w:widowControl/>
        <w:suppressLineNumbers w:val="0"/>
        <w:spacing w:before="0" w:beforeAutospacing="0" w:after="0" w:afterAutospacing="0" w:line="520" w:lineRule="atLeast"/>
        <w:rPr>
          <w:rFonts w:hint="eastAsia" w:ascii="宋体" w:hAnsi="宋体" w:eastAsia="宋体" w:cs="宋体"/>
          <w:sz w:val="24"/>
          <w:szCs w:val="24"/>
        </w:rPr>
      </w:pPr>
      <w:r>
        <w:rPr>
          <w:rFonts w:hint="eastAsia" w:ascii="仿宋_GB2312" w:hAnsi="宋体" w:eastAsia="仿宋_GB2312" w:cs="仿宋_GB2312"/>
          <w:sz w:val="32"/>
          <w:szCs w:val="32"/>
        </w:rPr>
        <w:t>地</w:t>
      </w:r>
      <w:r>
        <w:rPr>
          <w:rFonts w:hint="eastAsia" w:ascii="宋体" w:hAnsi="宋体" w:eastAsia="宋体" w:cs="宋体"/>
          <w:sz w:val="32"/>
          <w:szCs w:val="32"/>
        </w:rPr>
        <w:t xml:space="preserve">  </w:t>
      </w:r>
      <w:r>
        <w:rPr>
          <w:rFonts w:hint="eastAsia" w:ascii="仿宋_GB2312" w:hAnsi="宋体" w:eastAsia="仿宋_GB2312" w:cs="仿宋_GB2312"/>
          <w:sz w:val="32"/>
          <w:szCs w:val="32"/>
        </w:rPr>
        <w:t>址：广州市越秀区东风中路</w:t>
      </w:r>
      <w:r>
        <w:rPr>
          <w:rFonts w:hint="eastAsia" w:ascii="宋体" w:hAnsi="宋体" w:eastAsia="宋体" w:cs="宋体"/>
          <w:sz w:val="32"/>
          <w:szCs w:val="32"/>
        </w:rPr>
        <w:t>318</w:t>
      </w:r>
      <w:r>
        <w:rPr>
          <w:rFonts w:hint="eastAsia" w:ascii="仿宋_GB2312" w:hAnsi="宋体" w:eastAsia="仿宋_GB2312" w:cs="仿宋_GB2312"/>
          <w:sz w:val="32"/>
          <w:szCs w:val="32"/>
        </w:rPr>
        <w:t>号嘉业大厦</w:t>
      </w:r>
      <w:r>
        <w:rPr>
          <w:rFonts w:hint="eastAsia" w:ascii="宋体" w:hAnsi="宋体" w:eastAsia="宋体" w:cs="宋体"/>
          <w:sz w:val="32"/>
          <w:szCs w:val="32"/>
        </w:rPr>
        <w:t>14</w:t>
      </w:r>
      <w:r>
        <w:rPr>
          <w:rFonts w:hint="eastAsia" w:ascii="仿宋_GB2312" w:hAnsi="宋体" w:eastAsia="仿宋_GB2312" w:cs="仿宋_GB2312"/>
          <w:sz w:val="32"/>
          <w:szCs w:val="32"/>
        </w:rPr>
        <w:t>楼</w:t>
      </w:r>
    </w:p>
    <w:p>
      <w:pPr>
        <w:pStyle w:val="2"/>
        <w:keepNext w:val="0"/>
        <w:keepLines w:val="0"/>
        <w:widowControl/>
        <w:suppressLineNumbers w:val="0"/>
        <w:spacing w:before="0" w:beforeAutospacing="0" w:after="0" w:afterAutospacing="0" w:line="52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经我局执法监察支队</w:t>
      </w:r>
      <w:r>
        <w:rPr>
          <w:rFonts w:hint="eastAsia" w:ascii="宋体" w:hAnsi="宋体" w:eastAsia="宋体" w:cs="宋体"/>
          <w:sz w:val="32"/>
          <w:szCs w:val="32"/>
        </w:rPr>
        <w:t>2016</w:t>
      </w:r>
      <w:r>
        <w:rPr>
          <w:rFonts w:hint="eastAsia" w:ascii="仿宋_GB2312" w:hAnsi="宋体" w:eastAsia="仿宋_GB2312" w:cs="仿宋_GB2312"/>
          <w:sz w:val="32"/>
          <w:szCs w:val="32"/>
        </w:rPr>
        <w:t>年</w:t>
      </w:r>
      <w:r>
        <w:rPr>
          <w:rFonts w:hint="eastAsia" w:ascii="宋体" w:hAnsi="宋体" w:eastAsia="宋体" w:cs="宋体"/>
          <w:sz w:val="32"/>
          <w:szCs w:val="32"/>
        </w:rPr>
        <w:t>6</w:t>
      </w:r>
      <w:r>
        <w:rPr>
          <w:rFonts w:hint="eastAsia" w:ascii="仿宋_GB2312" w:hAnsi="宋体" w:eastAsia="仿宋_GB2312" w:cs="仿宋_GB2312"/>
          <w:sz w:val="32"/>
          <w:szCs w:val="32"/>
        </w:rPr>
        <w:t>月</w:t>
      </w:r>
      <w:r>
        <w:rPr>
          <w:rFonts w:hint="eastAsia" w:ascii="宋体" w:hAnsi="宋体" w:eastAsia="宋体" w:cs="宋体"/>
          <w:sz w:val="32"/>
          <w:szCs w:val="32"/>
        </w:rPr>
        <w:t>30</w:t>
      </w:r>
      <w:r>
        <w:rPr>
          <w:rFonts w:hint="eastAsia" w:ascii="仿宋_GB2312" w:hAnsi="宋体" w:eastAsia="仿宋_GB2312" w:cs="仿宋_GB2312"/>
          <w:sz w:val="32"/>
          <w:szCs w:val="32"/>
        </w:rPr>
        <w:t>日、</w:t>
      </w:r>
      <w:r>
        <w:rPr>
          <w:rFonts w:hint="eastAsia" w:ascii="宋体" w:hAnsi="宋体" w:eastAsia="宋体" w:cs="宋体"/>
          <w:sz w:val="32"/>
          <w:szCs w:val="32"/>
        </w:rPr>
        <w:t>8</w:t>
      </w:r>
      <w:r>
        <w:rPr>
          <w:rFonts w:hint="eastAsia" w:ascii="仿宋_GB2312" w:hAnsi="宋体" w:eastAsia="仿宋_GB2312" w:cs="仿宋_GB2312"/>
          <w:sz w:val="32"/>
          <w:szCs w:val="32"/>
        </w:rPr>
        <w:t>月</w:t>
      </w:r>
      <w:r>
        <w:rPr>
          <w:rFonts w:hint="eastAsia" w:ascii="宋体" w:hAnsi="宋体" w:eastAsia="宋体" w:cs="宋体"/>
          <w:sz w:val="32"/>
          <w:szCs w:val="32"/>
        </w:rPr>
        <w:t>11</w:t>
      </w:r>
      <w:r>
        <w:rPr>
          <w:rFonts w:hint="eastAsia" w:ascii="仿宋_GB2312" w:hAnsi="宋体" w:eastAsia="仿宋_GB2312" w:cs="仿宋_GB2312"/>
          <w:sz w:val="32"/>
          <w:szCs w:val="32"/>
        </w:rPr>
        <w:t>日调查发现，当事人管理的广州市白云新城匝道工程建设项目环评文件于</w:t>
      </w:r>
      <w:r>
        <w:rPr>
          <w:rFonts w:hint="eastAsia" w:ascii="宋体" w:hAnsi="宋体" w:eastAsia="宋体" w:cs="宋体"/>
          <w:sz w:val="32"/>
          <w:szCs w:val="32"/>
        </w:rPr>
        <w:t>2006</w:t>
      </w:r>
      <w:r>
        <w:rPr>
          <w:rFonts w:hint="eastAsia" w:ascii="仿宋_GB2312" w:hAnsi="宋体" w:eastAsia="仿宋_GB2312" w:cs="仿宋_GB2312"/>
          <w:sz w:val="32"/>
          <w:szCs w:val="32"/>
        </w:rPr>
        <w:t>年</w:t>
      </w:r>
      <w:r>
        <w:rPr>
          <w:rFonts w:hint="eastAsia" w:ascii="宋体" w:hAnsi="宋体" w:eastAsia="宋体" w:cs="宋体"/>
          <w:sz w:val="32"/>
          <w:szCs w:val="32"/>
        </w:rPr>
        <w:t>12</w:t>
      </w:r>
      <w:r>
        <w:rPr>
          <w:rFonts w:hint="eastAsia" w:ascii="仿宋_GB2312" w:hAnsi="宋体" w:eastAsia="仿宋_GB2312" w:cs="仿宋_GB2312"/>
          <w:sz w:val="32"/>
          <w:szCs w:val="32"/>
        </w:rPr>
        <w:t>月</w:t>
      </w:r>
      <w:r>
        <w:rPr>
          <w:rFonts w:hint="eastAsia" w:ascii="宋体" w:hAnsi="宋体" w:eastAsia="宋体" w:cs="宋体"/>
          <w:sz w:val="32"/>
          <w:szCs w:val="32"/>
        </w:rPr>
        <w:t>3</w:t>
      </w:r>
      <w:r>
        <w:rPr>
          <w:rFonts w:hint="eastAsia" w:ascii="仿宋_GB2312" w:hAnsi="宋体" w:eastAsia="仿宋_GB2312" w:cs="仿宋_GB2312"/>
          <w:sz w:val="32"/>
          <w:szCs w:val="32"/>
        </w:rPr>
        <w:t>日经我局穗环管影〔</w:t>
      </w:r>
      <w:r>
        <w:rPr>
          <w:rFonts w:hint="eastAsia" w:ascii="宋体" w:hAnsi="宋体" w:eastAsia="宋体" w:cs="宋体"/>
          <w:sz w:val="32"/>
          <w:szCs w:val="32"/>
        </w:rPr>
        <w:t>2006</w:t>
      </w:r>
      <w:r>
        <w:rPr>
          <w:rFonts w:hint="eastAsia" w:ascii="仿宋_GB2312" w:hAnsi="宋体" w:eastAsia="仿宋_GB2312" w:cs="仿宋_GB2312"/>
          <w:sz w:val="32"/>
          <w:szCs w:val="32"/>
        </w:rPr>
        <w:t>〕</w:t>
      </w:r>
      <w:r>
        <w:rPr>
          <w:rFonts w:hint="eastAsia" w:ascii="宋体" w:hAnsi="宋体" w:eastAsia="宋体" w:cs="宋体"/>
          <w:sz w:val="32"/>
          <w:szCs w:val="32"/>
        </w:rPr>
        <w:t>393</w:t>
      </w:r>
      <w:r>
        <w:rPr>
          <w:rFonts w:hint="eastAsia" w:ascii="仿宋_GB2312" w:hAnsi="宋体" w:eastAsia="仿宋_GB2312" w:cs="仿宋_GB2312"/>
          <w:sz w:val="32"/>
          <w:szCs w:val="32"/>
        </w:rPr>
        <w:t>号文批复同意，于</w:t>
      </w:r>
      <w:r>
        <w:rPr>
          <w:rFonts w:hint="eastAsia" w:ascii="宋体" w:hAnsi="宋体" w:eastAsia="宋体" w:cs="宋体"/>
          <w:sz w:val="32"/>
          <w:szCs w:val="32"/>
        </w:rPr>
        <w:t>2007</w:t>
      </w:r>
      <w:r>
        <w:rPr>
          <w:rFonts w:hint="eastAsia" w:ascii="仿宋_GB2312" w:hAnsi="宋体" w:eastAsia="仿宋_GB2312" w:cs="仿宋_GB2312"/>
          <w:sz w:val="32"/>
          <w:szCs w:val="32"/>
        </w:rPr>
        <w:t>年</w:t>
      </w:r>
      <w:r>
        <w:rPr>
          <w:rFonts w:hint="eastAsia" w:ascii="宋体" w:hAnsi="宋体" w:eastAsia="宋体" w:cs="宋体"/>
          <w:sz w:val="32"/>
          <w:szCs w:val="32"/>
        </w:rPr>
        <w:t>10</w:t>
      </w:r>
      <w:r>
        <w:rPr>
          <w:rFonts w:hint="eastAsia" w:ascii="仿宋_GB2312" w:hAnsi="宋体" w:eastAsia="仿宋_GB2312" w:cs="仿宋_GB2312"/>
          <w:sz w:val="32"/>
          <w:szCs w:val="32"/>
        </w:rPr>
        <w:t>月建成并投入使用，至今未完成该建设项目需配套建设的环境保护设施竣工验收手续。</w:t>
      </w:r>
    </w:p>
    <w:p>
      <w:pPr>
        <w:pStyle w:val="2"/>
        <w:keepNext w:val="0"/>
        <w:keepLines w:val="0"/>
        <w:widowControl/>
        <w:suppressLineNumbers w:val="0"/>
        <w:spacing w:before="0" w:beforeAutospacing="0" w:after="0" w:afterAutospacing="0" w:line="52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以上事实，有《询问笔录》、《现场检查笔录》等证据为证。</w:t>
      </w:r>
    </w:p>
    <w:p>
      <w:pPr>
        <w:pStyle w:val="2"/>
        <w:keepNext w:val="0"/>
        <w:keepLines w:val="0"/>
        <w:widowControl/>
        <w:suppressLineNumbers w:val="0"/>
        <w:snapToGrid w:val="0"/>
        <w:spacing w:before="0" w:beforeAutospacing="0" w:after="0" w:afterAutospacing="0" w:line="52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当事人上述行为违反了《建设项目环境保护管理条例》第二十三条的规定。</w:t>
      </w:r>
    </w:p>
    <w:p>
      <w:pPr>
        <w:pStyle w:val="2"/>
        <w:keepNext w:val="0"/>
        <w:keepLines w:val="0"/>
        <w:widowControl/>
        <w:suppressLineNumbers w:val="0"/>
        <w:spacing w:before="0" w:beforeAutospacing="0" w:after="0" w:afterAutospacing="0" w:line="520" w:lineRule="atLeast"/>
        <w:ind w:left="0" w:firstLine="640"/>
        <w:rPr>
          <w:rFonts w:hint="eastAsia" w:ascii="宋体" w:hAnsi="宋体" w:eastAsia="宋体" w:cs="宋体"/>
          <w:sz w:val="24"/>
          <w:szCs w:val="24"/>
        </w:rPr>
      </w:pPr>
      <w:r>
        <w:rPr>
          <w:rFonts w:hint="eastAsia" w:ascii="宋体" w:hAnsi="宋体" w:eastAsia="宋体" w:cs="宋体"/>
          <w:sz w:val="32"/>
          <w:szCs w:val="32"/>
        </w:rPr>
        <w:t>2016</w:t>
      </w:r>
      <w:r>
        <w:rPr>
          <w:rFonts w:hint="eastAsia" w:ascii="仿宋_GB2312" w:hAnsi="宋体" w:eastAsia="仿宋_GB2312" w:cs="仿宋_GB2312"/>
          <w:sz w:val="32"/>
          <w:szCs w:val="32"/>
        </w:rPr>
        <w:t>年</w:t>
      </w:r>
      <w:r>
        <w:rPr>
          <w:rFonts w:hint="eastAsia" w:ascii="宋体" w:hAnsi="宋体" w:eastAsia="宋体" w:cs="宋体"/>
          <w:sz w:val="32"/>
          <w:szCs w:val="32"/>
        </w:rPr>
        <w:t>8</w:t>
      </w:r>
      <w:r>
        <w:rPr>
          <w:rFonts w:hint="eastAsia" w:ascii="仿宋_GB2312" w:hAnsi="宋体" w:eastAsia="仿宋_GB2312" w:cs="仿宋_GB2312"/>
          <w:sz w:val="32"/>
          <w:szCs w:val="32"/>
        </w:rPr>
        <w:t>月</w:t>
      </w:r>
      <w:r>
        <w:rPr>
          <w:rFonts w:hint="eastAsia" w:ascii="宋体" w:hAnsi="宋体" w:eastAsia="宋体" w:cs="宋体"/>
          <w:sz w:val="32"/>
          <w:szCs w:val="32"/>
        </w:rPr>
        <w:t>30</w:t>
      </w:r>
      <w:r>
        <w:rPr>
          <w:rFonts w:hint="eastAsia" w:ascii="仿宋_GB2312" w:hAnsi="宋体" w:eastAsia="仿宋_GB2312" w:cs="仿宋_GB2312"/>
          <w:sz w:val="32"/>
          <w:szCs w:val="32"/>
        </w:rPr>
        <w:t>日，我局作出《行政处罚告知书》（穗环法告〔</w:t>
      </w:r>
      <w:r>
        <w:rPr>
          <w:rFonts w:hint="eastAsia" w:ascii="宋体" w:hAnsi="宋体" w:eastAsia="宋体" w:cs="宋体"/>
          <w:sz w:val="32"/>
          <w:szCs w:val="32"/>
        </w:rPr>
        <w:t>2016</w:t>
      </w:r>
      <w:r>
        <w:rPr>
          <w:rFonts w:hint="eastAsia" w:ascii="仿宋_GB2312" w:hAnsi="宋体" w:eastAsia="仿宋_GB2312" w:cs="仿宋_GB2312"/>
          <w:sz w:val="32"/>
          <w:szCs w:val="32"/>
        </w:rPr>
        <w:t>〕</w:t>
      </w:r>
      <w:r>
        <w:rPr>
          <w:rFonts w:hint="eastAsia" w:ascii="宋体" w:hAnsi="宋体" w:eastAsia="宋体" w:cs="宋体"/>
          <w:sz w:val="32"/>
          <w:szCs w:val="32"/>
        </w:rPr>
        <w:t>82</w:t>
      </w:r>
      <w:r>
        <w:rPr>
          <w:rFonts w:hint="eastAsia" w:ascii="仿宋_GB2312" w:hAnsi="宋体" w:eastAsia="仿宋_GB2312" w:cs="仿宋_GB2312"/>
          <w:sz w:val="32"/>
          <w:szCs w:val="32"/>
        </w:rPr>
        <w:t>号），并于</w:t>
      </w:r>
      <w:r>
        <w:rPr>
          <w:rFonts w:hint="eastAsia" w:ascii="宋体" w:hAnsi="宋体" w:eastAsia="宋体" w:cs="宋体"/>
          <w:sz w:val="32"/>
          <w:szCs w:val="32"/>
        </w:rPr>
        <w:t>9</w:t>
      </w:r>
      <w:r>
        <w:rPr>
          <w:rFonts w:hint="eastAsia" w:ascii="仿宋_GB2312" w:hAnsi="宋体" w:eastAsia="仿宋_GB2312" w:cs="仿宋_GB2312"/>
          <w:sz w:val="32"/>
          <w:szCs w:val="32"/>
        </w:rPr>
        <w:t>月</w:t>
      </w:r>
      <w:r>
        <w:rPr>
          <w:rFonts w:hint="eastAsia" w:ascii="宋体" w:hAnsi="宋体" w:eastAsia="宋体" w:cs="宋体"/>
          <w:sz w:val="32"/>
          <w:szCs w:val="32"/>
        </w:rPr>
        <w:t>6</w:t>
      </w:r>
      <w:r>
        <w:rPr>
          <w:rFonts w:hint="eastAsia" w:ascii="仿宋_GB2312" w:hAnsi="宋体" w:eastAsia="仿宋_GB2312" w:cs="仿宋_GB2312"/>
          <w:sz w:val="32"/>
          <w:szCs w:val="32"/>
        </w:rPr>
        <w:t>日送达当事人，当事人</w:t>
      </w:r>
      <w:r>
        <w:rPr>
          <w:rFonts w:hint="eastAsia" w:ascii="宋体" w:hAnsi="宋体" w:eastAsia="宋体" w:cs="宋体"/>
          <w:sz w:val="32"/>
          <w:szCs w:val="32"/>
        </w:rPr>
        <w:t>9</w:t>
      </w:r>
      <w:r>
        <w:rPr>
          <w:rFonts w:hint="eastAsia" w:ascii="仿宋_GB2312" w:hAnsi="宋体" w:eastAsia="仿宋_GB2312" w:cs="仿宋_GB2312"/>
          <w:sz w:val="32"/>
          <w:szCs w:val="32"/>
        </w:rPr>
        <w:t>月</w:t>
      </w:r>
      <w:r>
        <w:rPr>
          <w:rFonts w:hint="eastAsia" w:ascii="宋体" w:hAnsi="宋体" w:eastAsia="宋体" w:cs="宋体"/>
          <w:sz w:val="32"/>
          <w:szCs w:val="32"/>
        </w:rPr>
        <w:t>9</w:t>
      </w:r>
      <w:r>
        <w:rPr>
          <w:rFonts w:hint="eastAsia" w:ascii="仿宋_GB2312" w:hAnsi="宋体" w:eastAsia="仿宋_GB2312" w:cs="仿宋_GB2312"/>
          <w:sz w:val="32"/>
          <w:szCs w:val="32"/>
        </w:rPr>
        <w:t>日提交书面申辩意见如下：由于“建管分离”模式，项目建设单位与营运管理单位分属不同法人单位，当事人接管时并不知道配套环保设施竣工验收手续未完成，且配套环保设施已落实。经审理，我局认为涉案项目确实存在未验先投的违法行为，当事人作为项目现营运管理单位应当承担项目需配套建设的环境保护设施竣工验收责任，依法予以处罚。现本案经我局审查结束。</w:t>
      </w:r>
    </w:p>
    <w:p>
      <w:pPr>
        <w:pStyle w:val="2"/>
        <w:keepNext w:val="0"/>
        <w:keepLines w:val="0"/>
        <w:widowControl/>
        <w:suppressLineNumbers w:val="0"/>
        <w:spacing w:before="0" w:beforeAutospacing="0" w:after="0" w:afterAutospacing="0" w:line="52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我局依据《中华人民共和国行政处罚法》第二十三条、《建设项目环境保护管理条例》第二十八条及《广州市环境保护局规范行政处罚自由裁量权规定》附件《环境违法行为行政处罚自由裁量适用标准》第</w:t>
      </w:r>
      <w:r>
        <w:rPr>
          <w:rFonts w:hint="eastAsia" w:ascii="宋体" w:hAnsi="宋体" w:eastAsia="宋体" w:cs="宋体"/>
          <w:sz w:val="32"/>
          <w:szCs w:val="32"/>
        </w:rPr>
        <w:t>8</w:t>
      </w:r>
      <w:r>
        <w:rPr>
          <w:rFonts w:hint="eastAsia" w:ascii="仿宋_GB2312" w:hAnsi="宋体" w:eastAsia="仿宋_GB2312" w:cs="仿宋_GB2312"/>
          <w:sz w:val="32"/>
          <w:szCs w:val="32"/>
        </w:rPr>
        <w:t>（</w:t>
      </w:r>
      <w:r>
        <w:rPr>
          <w:rFonts w:hint="eastAsia" w:ascii="宋体" w:hAnsi="宋体" w:eastAsia="宋体" w:cs="宋体"/>
          <w:sz w:val="32"/>
          <w:szCs w:val="32"/>
        </w:rPr>
        <w:t>2</w:t>
      </w:r>
      <w:r>
        <w:rPr>
          <w:rFonts w:hint="eastAsia" w:ascii="仿宋_GB2312" w:hAnsi="宋体" w:eastAsia="仿宋_GB2312" w:cs="仿宋_GB2312"/>
          <w:sz w:val="32"/>
          <w:szCs w:val="32"/>
        </w:rPr>
        <w:t>）（</w:t>
      </w:r>
      <w:r>
        <w:rPr>
          <w:rFonts w:hint="eastAsia" w:ascii="宋体" w:hAnsi="宋体" w:eastAsia="宋体" w:cs="宋体"/>
          <w:sz w:val="32"/>
          <w:szCs w:val="32"/>
        </w:rPr>
        <w:t>A</w:t>
      </w:r>
      <w:r>
        <w:rPr>
          <w:rFonts w:hint="eastAsia" w:ascii="仿宋_GB2312" w:hAnsi="宋体" w:eastAsia="仿宋_GB2312" w:cs="仿宋_GB2312"/>
          <w:sz w:val="32"/>
          <w:szCs w:val="32"/>
        </w:rPr>
        <w:t>）（</w:t>
      </w:r>
      <w:r>
        <w:rPr>
          <w:rFonts w:hint="eastAsia" w:ascii="宋体" w:hAnsi="宋体" w:eastAsia="宋体" w:cs="宋体"/>
          <w:sz w:val="32"/>
          <w:szCs w:val="32"/>
        </w:rPr>
        <w:t>c</w:t>
      </w:r>
      <w:r>
        <w:rPr>
          <w:rFonts w:hint="eastAsia" w:ascii="仿宋_GB2312" w:hAnsi="宋体" w:eastAsia="仿宋_GB2312" w:cs="仿宋_GB2312"/>
          <w:sz w:val="32"/>
          <w:szCs w:val="32"/>
        </w:rPr>
        <w:t>）的规定，责令当事人立即改正违法行为，完成该建设项目需配套建设的环境保护设施竣工验收手续，并作出处罚如下：</w:t>
      </w:r>
    </w:p>
    <w:p>
      <w:pPr>
        <w:pStyle w:val="2"/>
        <w:keepNext w:val="0"/>
        <w:keepLines w:val="0"/>
        <w:widowControl/>
        <w:suppressLineNumbers w:val="0"/>
        <w:spacing w:before="0" w:beforeAutospacing="0" w:after="0" w:afterAutospacing="0" w:line="52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罚款</w:t>
      </w:r>
      <w:r>
        <w:rPr>
          <w:rFonts w:hint="eastAsia" w:ascii="宋体" w:hAnsi="宋体" w:eastAsia="宋体" w:cs="宋体"/>
          <w:sz w:val="32"/>
          <w:szCs w:val="32"/>
        </w:rPr>
        <w:t>4</w:t>
      </w:r>
      <w:r>
        <w:rPr>
          <w:rFonts w:hint="eastAsia" w:ascii="仿宋_GB2312" w:hAnsi="宋体" w:eastAsia="仿宋_GB2312" w:cs="仿宋_GB2312"/>
          <w:sz w:val="32"/>
          <w:szCs w:val="32"/>
        </w:rPr>
        <w:t>万元。</w:t>
      </w:r>
    </w:p>
    <w:p>
      <w:pPr>
        <w:pStyle w:val="2"/>
        <w:keepNext w:val="0"/>
        <w:keepLines w:val="0"/>
        <w:widowControl/>
        <w:suppressLineNumbers w:val="0"/>
        <w:spacing w:before="0" w:beforeAutospacing="0" w:after="0" w:afterAutospacing="0" w:line="52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限当事人在收到本处罚决定书之日起</w:t>
      </w:r>
      <w:r>
        <w:rPr>
          <w:rFonts w:hint="eastAsia" w:ascii="宋体" w:hAnsi="宋体" w:eastAsia="宋体" w:cs="宋体"/>
          <w:sz w:val="32"/>
          <w:szCs w:val="32"/>
        </w:rPr>
        <w:t>15</w:t>
      </w:r>
      <w:r>
        <w:rPr>
          <w:rFonts w:hint="eastAsia" w:ascii="仿宋_GB2312" w:hAnsi="宋体"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eastAsia" w:ascii="宋体" w:hAnsi="宋体" w:eastAsia="宋体" w:cs="宋体"/>
          <w:sz w:val="32"/>
          <w:szCs w:val="32"/>
        </w:rPr>
        <w:t>3124</w:t>
      </w:r>
      <w:r>
        <w:rPr>
          <w:rFonts w:hint="eastAsia" w:ascii="仿宋_GB2312" w:hAnsi="宋体" w:eastAsia="仿宋_GB2312" w:cs="仿宋_GB2312"/>
          <w:sz w:val="32"/>
          <w:szCs w:val="32"/>
        </w:rPr>
        <w:t>。</w:t>
      </w:r>
    </w:p>
    <w:p>
      <w:pPr>
        <w:pStyle w:val="2"/>
        <w:keepNext w:val="0"/>
        <w:keepLines w:val="0"/>
        <w:widowControl/>
        <w:suppressLineNumbers w:val="0"/>
        <w:spacing w:before="0" w:beforeAutospacing="0" w:after="0" w:afterAutospacing="0" w:line="52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如不服上述行政处罚决定，可在接到本处罚决定书之日起</w:t>
      </w:r>
      <w:r>
        <w:rPr>
          <w:rFonts w:hint="eastAsia" w:ascii="宋体" w:hAnsi="宋体" w:eastAsia="宋体" w:cs="宋体"/>
          <w:sz w:val="32"/>
          <w:szCs w:val="32"/>
        </w:rPr>
        <w:t>60</w:t>
      </w:r>
      <w:r>
        <w:rPr>
          <w:rFonts w:hint="eastAsia" w:ascii="仿宋_GB2312" w:hAnsi="宋体" w:eastAsia="仿宋_GB2312" w:cs="仿宋_GB2312"/>
          <w:sz w:val="32"/>
          <w:szCs w:val="32"/>
        </w:rPr>
        <w:t>日内，向广州市人民政府或广东省环境保护厅提出行政复议申请，或在六个月内直接向有管辖权的人民法院提起行政诉讼。行政复议、行政诉讼期间内，不得停止本决定的履行。</w:t>
      </w:r>
    </w:p>
    <w:p>
      <w:pPr>
        <w:pStyle w:val="2"/>
        <w:keepNext w:val="0"/>
        <w:keepLines w:val="0"/>
        <w:widowControl/>
        <w:suppressLineNumbers w:val="0"/>
        <w:spacing w:before="0" w:beforeAutospacing="0" w:after="0" w:afterAutospacing="0" w:line="52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逾期不履行本处罚决定，我局将申请人民法院强制执行，并按罚款额每日加处百分之三罚款。</w:t>
      </w:r>
    </w:p>
    <w:p>
      <w:pPr>
        <w:pStyle w:val="2"/>
        <w:keepNext w:val="0"/>
        <w:keepLines w:val="0"/>
        <w:widowControl/>
        <w:suppressLineNumbers w:val="0"/>
        <w:snapToGrid w:val="0"/>
        <w:spacing w:before="0" w:beforeAutospacing="0" w:after="0" w:afterAutospacing="0" w:line="520" w:lineRule="atLeast"/>
        <w:ind w:right="968"/>
        <w:jc w:val="right"/>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20" w:lineRule="atLeast"/>
        <w:ind w:right="968"/>
        <w:jc w:val="right"/>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2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广州市环境保护局</w:t>
      </w:r>
    </w:p>
    <w:p>
      <w:pPr>
        <w:pStyle w:val="2"/>
        <w:keepNext w:val="0"/>
        <w:keepLines w:val="0"/>
        <w:widowControl/>
        <w:suppressLineNumbers w:val="0"/>
        <w:snapToGrid w:val="0"/>
        <w:spacing w:before="0" w:beforeAutospacing="0" w:after="0" w:afterAutospacing="0" w:line="520" w:lineRule="atLeast"/>
        <w:ind w:right="968"/>
        <w:jc w:val="right"/>
        <w:rPr>
          <w:rFonts w:hint="eastAsia" w:ascii="宋体" w:hAnsi="宋体" w:eastAsia="宋体" w:cs="宋体"/>
          <w:sz w:val="24"/>
          <w:szCs w:val="24"/>
        </w:rPr>
      </w:pPr>
      <w:r>
        <w:rPr>
          <w:rFonts w:hint="eastAsia" w:ascii="宋体" w:hAnsi="宋体" w:eastAsia="宋体" w:cs="宋体"/>
          <w:sz w:val="32"/>
          <w:szCs w:val="32"/>
        </w:rPr>
        <w:t>2017</w:t>
      </w:r>
      <w:r>
        <w:rPr>
          <w:rFonts w:hint="eastAsia" w:ascii="仿宋_GB2312" w:hAnsi="宋体" w:eastAsia="仿宋_GB2312" w:cs="仿宋_GB2312"/>
          <w:sz w:val="32"/>
          <w:szCs w:val="32"/>
        </w:rPr>
        <w:t>年</w:t>
      </w:r>
      <w:r>
        <w:rPr>
          <w:rFonts w:hint="eastAsia" w:ascii="宋体" w:hAnsi="宋体" w:eastAsia="宋体" w:cs="宋体"/>
          <w:sz w:val="32"/>
          <w:szCs w:val="32"/>
        </w:rPr>
        <w:t>1</w:t>
      </w:r>
      <w:r>
        <w:rPr>
          <w:rFonts w:hint="eastAsia" w:ascii="仿宋_GB2312" w:hAnsi="宋体" w:eastAsia="仿宋_GB2312" w:cs="仿宋_GB2312"/>
          <w:sz w:val="32"/>
          <w:szCs w:val="32"/>
        </w:rPr>
        <w:t>月</w:t>
      </w:r>
      <w:r>
        <w:rPr>
          <w:rFonts w:hint="eastAsia" w:ascii="宋体" w:hAnsi="宋体" w:eastAsia="宋体" w:cs="宋体"/>
          <w:sz w:val="32"/>
          <w:szCs w:val="32"/>
        </w:rPr>
        <w:t>9</w:t>
      </w:r>
      <w:r>
        <w:rPr>
          <w:rFonts w:hint="eastAsia" w:ascii="仿宋_GB2312" w:hAnsi="宋体" w:eastAsia="仿宋_GB2312" w:cs="仿宋_GB2312"/>
          <w:sz w:val="32"/>
          <w:szCs w:val="32"/>
        </w:rPr>
        <w:t>日</w:t>
      </w:r>
      <w:r>
        <w:rPr>
          <w:rFonts w:hint="eastAsia" w:ascii="宋体" w:hAnsi="宋体" w:eastAsia="宋体" w:cs="宋体"/>
          <w:sz w:val="32"/>
          <w:szCs w:val="32"/>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napToGrid w:val="0"/>
          <w:sz w:val="30"/>
          <w:szCs w:val="30"/>
        </w:rPr>
        <w:t> </w:t>
      </w:r>
    </w:p>
    <w:p>
      <w:pPr>
        <w:pStyle w:val="2"/>
        <w:keepNext w:val="0"/>
        <w:keepLines w:val="0"/>
        <w:widowControl/>
        <w:suppressLineNumbers w:val="0"/>
        <w:spacing w:before="0" w:beforeAutospacing="0" w:after="0" w:afterAutospacing="0" w:line="520" w:lineRule="atLeast"/>
        <w:ind w:left="0" w:right="0"/>
        <w:jc w:val="left"/>
      </w:pPr>
      <w:r>
        <w:rPr>
          <w:rFonts w:hint="eastAsia" w:ascii="仿宋_GB2312" w:eastAsia="仿宋_GB2312" w:cs="仿宋_GB2312"/>
          <w:sz w:val="32"/>
          <w:szCs w:val="32"/>
        </w:rPr>
        <w:t>  抄送：局环评处、执法监察支队，越秀区、白云区环保局。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62738"/>
    <w:rsid w:val="268D0943"/>
    <w:rsid w:val="5B744FC8"/>
    <w:rsid w:val="5FB62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2019-01-30T08:31:00Z</dcterms:created>
  <dc:creator>黄文宇</dc:creator>
  <cp:lastModifiedBy>黄文宇</cp:lastModifiedBy>
  <dcterms:modified xsi:type="dcterms:W3CDTF">2019-01-30T08:31:35Z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