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广州市家具制造行业挥发性有机物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排放自动监控技术指南</w:t>
      </w:r>
    </w:p>
    <w:p>
      <w:pPr>
        <w:spacing w:line="59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（试行）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ind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执行《中华人民共和国大气污染防治法》、《广东省大气污染防治条例》、生态环境部关于《重点行业挥发性有机物综合治理方案》（环大气〔2019〕53号）、环境环保部等六部委关于《“十三五”挥发性有机物污染防治工作方案》（环大气[2017]121号）、《广东省挥发性有机物（VOCs）整治与减排工作方案（2018-2020年）》（粤环发〔2018〕6号）等有关要求，规范我市家具制造行业挥发性有机物（以下简称“VOCs”）污染治理，为环境管理政策制定和实施提供技术依据，便于企业开展相关工作，特制定本技术指南。</w:t>
      </w:r>
    </w:p>
    <w:p>
      <w:pPr>
        <w:spacing w:line="59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  工作目标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VOCs排放自动监控系统对家具制造企业进行实时有效的监测管理，有效控制家具制造企业的污染物排放，使我市挥发性有机物污染问题得到有效控制。挥发性有机物年产生量10吨以上的家具制造企业应于2020年6月30日前，挥发性有机物年产生量不足10吨的家具制造企业力争2020年6月30日前、最迟不晚于2020年9月30日前，须按要求安装废气处理设施配套的用于反映废气流速、总VOCs浓度及总VOCs去除率的自动监控系统，并于2020年12月31日前将VOCs排放自动监控数据接入市生态环境局中心端。</w:t>
      </w:r>
    </w:p>
    <w:p>
      <w:pPr>
        <w:spacing w:line="59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  适用范围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本技术指南适用于我市行政区域范围内，新建和现有的从事涂装、喷涂、施胶、干燥等产生VOCs废气工序的家具制造企业。</w:t>
      </w:r>
    </w:p>
    <w:p>
      <w:pPr>
        <w:spacing w:line="59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  术语和定义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3.1  挥发性有机物  在标准大气压下，沸点低于或等于250℃的有机化合物，简称VOCs。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3.2  无组织排放  大气污染物不经过排气筒的无规则排放，包括开放式作业场所逸散，以及通过缝隙、通风口、敞开门窗和类似开口（孔）的排放等。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3.3  总VOCs去除率指同一时刻废气处理设施废气处理前、后的总VOCs排放速率差值与废气处理前总VOCs排放速率值的百分比值。</w:t>
      </w:r>
    </w:p>
    <w:p>
      <w:pPr>
        <w:spacing w:line="59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4  安装规范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4.1 从事涂装、喷涂、施胶、干燥等产生VOCs废气工序的家具制造企业，必须有组织排放含VOCs的废气，自动监控系统应安装在具备独立设置全围蔽的涂装、喷涂、施胶、干燥工艺车间，且对应工序必须在该车间内开展。上述车间应设置独立的废气收集设施，统一收集废气，并排至废气处理设施中净化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4.2  家具制造企业生产过程中因部分产生VOCs废气工序未密闭操作，导致生产过程存在VOCs无组织排放的，应采取局部气体收集措施，收集废气并排至废气处理设施。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4.3  排气筒高度一般不应低于15米，且要求高出周围200m半径范围的最高建筑5m以上，未达到上述要求的排气筒，VOCs最高允许排放速率根据《家具制造行业挥发性有机化合物排放标准》（DB 44/814-2010）“4.5  排气筒高度与排放速率要求”执行。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4.4  每套VOCs废气处理设施的处理前、后，各布设一个手工及自动监控采样口。自动监控系统至少具备处理前后废气总VOCs浓度、总VOCs去除率和废气流速三个指标的监控能力（在满足具备以上三项指标的前提下，鼓励有能力的企业选购具备其他参数的自动监控系统），对处理前、后废气进行监控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4.5  自动监控采样口位置的布设，参照国家标准《</w:t>
      </w:r>
      <w:r>
        <w:rPr>
          <w:rFonts w:eastAsia="仿宋_GB2312"/>
          <w:bCs/>
          <w:sz w:val="32"/>
          <w:szCs w:val="32"/>
        </w:rPr>
        <w:t>固定污染源排气中颗粒物测定与气态污染物采样方法</w:t>
      </w:r>
      <w:r>
        <w:rPr>
          <w:rFonts w:eastAsia="仿宋_GB2312"/>
          <w:sz w:val="32"/>
          <w:szCs w:val="32"/>
        </w:rPr>
        <w:t>》（GB/T 16157）、《大气污染物无组织排放监测技术导则》（HJ/T 55）、《挥发性有机物无组织排放控制标准》（GB37822-2019）执行。废气处理前、后自动监控采样口所对应的排放筒管径大小应保持一致，且不存在旁路等现象。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4.6  废气参数（如流速等）监控设备的性能指标应符合中华人民共和国国家环境保护标准《</w:t>
      </w:r>
      <w:r>
        <w:rPr>
          <w:rFonts w:eastAsia="仿宋_GB2312"/>
          <w:bCs/>
          <w:sz w:val="32"/>
          <w:szCs w:val="32"/>
        </w:rPr>
        <w:t>固定污染源烟气（SO</w:t>
      </w:r>
      <w:r>
        <w:rPr>
          <w:rFonts w:eastAsia="仿宋_GB2312"/>
          <w:bCs/>
          <w:sz w:val="32"/>
          <w:szCs w:val="32"/>
          <w:vertAlign w:val="subscript"/>
        </w:rPr>
        <w:t>2</w:t>
      </w:r>
      <w:r>
        <w:rPr>
          <w:rFonts w:eastAsia="仿宋_GB2312"/>
          <w:bCs/>
          <w:sz w:val="32"/>
          <w:szCs w:val="32"/>
        </w:rPr>
        <w:t>、NO</w:t>
      </w:r>
      <w:r>
        <w:rPr>
          <w:rFonts w:eastAsia="仿宋_GB2312"/>
          <w:bCs/>
          <w:sz w:val="32"/>
          <w:szCs w:val="32"/>
          <w:vertAlign w:val="subscript"/>
        </w:rPr>
        <w:t>X</w:t>
      </w:r>
      <w:r>
        <w:rPr>
          <w:rFonts w:eastAsia="仿宋_GB2312"/>
          <w:bCs/>
          <w:sz w:val="32"/>
          <w:szCs w:val="32"/>
        </w:rPr>
        <w:t>、颗粒物）排放连续监测系统技术要求及检测方法（HJ 76-2017代替HJ/T 76-2007）</w:t>
      </w:r>
      <w:r>
        <w:rPr>
          <w:rFonts w:eastAsia="仿宋_GB2312"/>
          <w:sz w:val="32"/>
          <w:szCs w:val="32"/>
        </w:rPr>
        <w:t>》相关要求。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5  自动监控系统技术要求 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5.1  仪器表面应完好无缺，有产品铭牌、具有防尘防水功能，可适用于大部分的环境中，绝缘、防漏电与防雷等性能安全要求。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5.2  样品采集和传输装置具备：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a) 材质应选用耐高温、防腐蚀和防吸附、不参与待测总VOCs发生反应的材料。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b) 样品采集装置应具备颗粒物过滤功能，过滤器应至少能过滤5μm粒径以上的颗粒物。根据企业治理设施的实际情况，应增加相应的冷凝除水等功能。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c) 使用伴热管线时应具备稳定、均匀加热和保温的功能，减少采集的样品气体中的VOCs在传输过程中出现损失现象。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d) 采样流量准确可靠、稳定。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5.3  预处理设备及其部件应方便清理和更换，应使用不吸附和不参与待测总VOCs发生反应的材料。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5.4  数据采集和传输设备应当具备但不限于下列功能：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a) 时间显示和设置。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b) 显示实时数据和查询历史数据，数据传输。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c) 采集一组系统测量的实时数据主要包括：废气处理前后的总VOCs浓度、总VOCs去除率和废气流速等。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d) 记录存储一组系统测量的实时数据为该时段的平均值，主要包括：废气处理前后的总VOCs浓度、总VOCs去除率和废气流速等。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e) 断电时系统能自动保存数据，当恢复供电后系统可自动启动，并恢复正常运行状态。</w:t>
      </w:r>
    </w:p>
    <w:p>
      <w:pPr>
        <w:spacing w:line="59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6  自动监控系统技术性能指标要求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动监控系统的性能技术指标须满足国家、广东省或行业相关标准要求。监测设备数据采集与传输功能需符合《广州市污染源自动监控系统VOCs排放数据传输规范》的要求。VOCs排放自动监控系统需具备现场数据显示功能。VOCs排放自动监控系统主要技术性能指标见表1。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表1 VOCs排放自动监控系统技术性能指标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2"/>
        <w:gridCol w:w="4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项目</w:t>
            </w:r>
          </w:p>
        </w:tc>
        <w:tc>
          <w:tcPr>
            <w:tcW w:w="4291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性能指标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总VOCs浓度测定下限</w:t>
            </w:r>
          </w:p>
        </w:tc>
        <w:tc>
          <w:tcPr>
            <w:tcW w:w="4291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≤5mg/m</w:t>
            </w:r>
            <w:r>
              <w:rPr>
                <w:rFonts w:ascii="Times New Roman" w:hAnsi="Times New Roman" w:eastAsia="宋体" w:cs="Times New Roman"/>
                <w:color w:val="auto"/>
              </w:rPr>
              <w:t>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重复性</w:t>
            </w:r>
          </w:p>
        </w:tc>
        <w:tc>
          <w:tcPr>
            <w:tcW w:w="4291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≤±3%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响应时间</w:t>
            </w:r>
          </w:p>
        </w:tc>
        <w:tc>
          <w:tcPr>
            <w:tcW w:w="4291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≤20s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零点漂移</w:t>
            </w:r>
          </w:p>
        </w:tc>
        <w:tc>
          <w:tcPr>
            <w:tcW w:w="4291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≤2mg/m</w:t>
            </w:r>
            <w:r>
              <w:rPr>
                <w:rFonts w:ascii="Times New Roman" w:hAnsi="Times New Roman" w:eastAsia="宋体" w:cs="Times New Roman"/>
                <w:color w:val="auto"/>
              </w:rPr>
              <w:t>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实际气体比对误差</w:t>
            </w:r>
          </w:p>
        </w:tc>
        <w:tc>
          <w:tcPr>
            <w:tcW w:w="4291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≤50%（VOCs≤15mg/m</w:t>
            </w:r>
            <w:r>
              <w:rPr>
                <w:rFonts w:ascii="Times New Roman" w:hAnsi="Times New Roman" w:eastAsia="宋体" w:cs="Times New Roman"/>
                <w:color w:val="auto"/>
              </w:rPr>
              <w:t>³</w:t>
            </w:r>
            <w:r>
              <w:rPr>
                <w:rFonts w:ascii="Times New Roman" w:hAnsi="Times New Roman" w:eastAsia="仿宋_GB2312" w:cs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2" w:type="dxa"/>
            <w:vMerge w:val="continue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91" w:type="dxa"/>
          </w:tcPr>
          <w:p>
            <w:pPr>
              <w:pStyle w:val="9"/>
              <w:jc w:val="center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≤35%（VOCs＞15mg/m</w:t>
            </w:r>
            <w:r>
              <w:rPr>
                <w:rFonts w:ascii="Times New Roman" w:hAnsi="Times New Roman" w:eastAsia="宋体" w:cs="Times New Roman"/>
                <w:color w:val="auto"/>
              </w:rPr>
              <w:t>³</w:t>
            </w:r>
            <w:r>
              <w:rPr>
                <w:rFonts w:ascii="Times New Roman" w:hAnsi="Times New Roman" w:eastAsia="仿宋_GB2312" w:cs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3" w:type="dxa"/>
            <w:gridSpan w:val="2"/>
          </w:tcPr>
          <w:p>
            <w:pPr>
              <w:pStyle w:val="9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  <w:t>备注：</w:t>
            </w:r>
          </w:p>
          <w:p>
            <w:pPr>
              <w:pStyle w:val="9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  <w:t>1、以上项目的试验方法参照广东省地方标准《固定污染源  挥发性有机物排放连续自动监测系统  光离子化验检测器（PID）法技术要求》。</w:t>
            </w:r>
          </w:p>
          <w:p>
            <w:pPr>
              <w:pStyle w:val="9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  <w:t>2、测量范围上限值不低于排放限值的5倍；</w:t>
            </w:r>
          </w:p>
          <w:p>
            <w:pPr>
              <w:pStyle w:val="9"/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1"/>
                <w:szCs w:val="21"/>
              </w:rPr>
              <w:t>3、相关排放限值参照广东省地方标准《家具制造行业挥发性有机化合物排放标准》（DB44/814-2010）及国家标准《挥发性有机物无组织排放控制标准》（GB37822-2019）执行。</w:t>
            </w:r>
          </w:p>
        </w:tc>
      </w:tr>
    </w:tbl>
    <w:p>
      <w:pPr>
        <w:pStyle w:val="9"/>
        <w:rPr>
          <w:rFonts w:ascii="Times New Roman" w:hAnsi="Times New Roman" w:eastAsia="仿宋_GB2312" w:cs="Times New Roman"/>
          <w:color w:val="auto"/>
        </w:rPr>
      </w:pP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7  数据采集、传输、存储与处理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7.1  数据采集与传输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7.1.1自动监控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数据采集频率应不低于1次/分钟, 浓度测量值应统一换算为mg/m</w:t>
      </w:r>
      <w:r>
        <w:rPr>
          <w:rFonts w:ascii="Times New Roman" w:hAnsi="Times New Roman" w:eastAsia="Arial Unicode MS" w:cs="Times New Roman"/>
          <w:color w:val="auto"/>
          <w:sz w:val="32"/>
          <w:szCs w:val="32"/>
        </w:rPr>
        <w:t>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；流速测量值应统一换算为m/s；去除率以%为统计单位。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7.1.2 数据采集仪应按传输指令要求实现数据传输与反控，应满足向多用户发送自动监控数据的传输需求。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7.1.3 数据传输因网络、硬件、软件等导致传输失败时，自动监控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现场数据显示屏应具备传输失败提醒功能。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7.2  数据存储与处理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7.2.1自动监控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的分钟数据存储时间应不少于6个月；信息平台的分钟数据存储时间应不少于1年。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7.2.2 异常值取舍应符合下列要求：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a) 当监控数据低于检出限或负值，应取最低检出限的1/2作为监控数据并参加统计。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b) 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校准期间的所有数据应作为无效数据。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c) 当发生临时断电时，从断电时起至恢复供电后监控设备正常运行止，该时段内的监控数据应作为无效数据。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d) 在用自动监控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未按照相关计量检定规程进行检定和开展比对测试的，监控数据无效。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e) 所有无效数据均应标注标识符，不应参加统计，但需正常上传，且应在原始数据库中予以保留。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8  自动监控系统日常运行维护要求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8.1  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应依据相关计量检定规程进行量值溯源，并在有效期内使用。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8.2  比对测试应符合下列要求：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a)  自动监测设备运行前，每套自动监测设备应由有资质的检测机构依据相关标准、规范开展比对测试工作，结果应满足本规范表1中的相关要求。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b)  在用仪器的比对测试报告应以电子版的形式上传至数据平台,或提交相关管理部门,原始记录和测试报告应保存以备查。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8.3  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具备自动校准功能，自动校零和校准每周至少一次，如遇突发状况可根据实际情况提高自动校零和校准的频率。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8.4  每月应进行至少一次废气流速准确性和稳定性检查，每次流量检查频次应不少于3次平行测定，流量平均值与设定值间的误差应不超过±5%。超过允许误差应对设备安装情况进行检查。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8.5  应保存运行维护记录，保存时间应与建设周期一致。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8.6  应定期对现场数据屏幕等辅助设备进行清洁维护，确保设备处于良好工作状态。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9  系统检修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9.1  运维单位应制定各监控设施及系统易耗品更换计划，并按计划实施。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9.2  运维单位应检查数据采集传输装置运行情况及数据传输一致性情况，每月对数据采集仪内的监控数据进行备份。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9.3  设备检修应符合下列要求：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a)  监控系统发生故障时，原则上应在故障发生24h内修复。当设备发生故障超过72h仍无法修复，应采用备用设备替代发生故障的仪器。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b)  更换影响计量性能的主要部件时，应对仪器进行校准，并实施有效的量值溯源工作。 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9.4  应保存检修和维修记录，检修和维修记录包括但不限于检修和维修的时间、项目、内容、修后状态及检修负责人的签字等，保存时间应与建设周期一致。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10  注意事项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为保证自动监控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的正常运作，确保监控数据不受人为和外部条件等因素干扰，家具制造企业在提交验收备案材料时应同时提交一份《VOCs排放自动监控</w:t>
      </w:r>
      <w:r>
        <w:rPr>
          <w:rFonts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运行维护承诺书》。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11 总VOCs去除率计算方法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方法1：总VOCs去除率为同一时刻废气处理设施废气处理前、后的总VOCs排放速率差值与废气处理前总VOCs排放速率值的百分比值。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参考公式：</w:t>
      </w:r>
      <m:oMath>
        <m:sSub>
          <m:sSubPr>
            <m:ctrlPr>
              <w:rPr>
                <w:rFonts w:ascii="Cambria Math" w:hAnsi="Cambria Math" w:eastAsia="仿宋_GB231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仿宋_GB2312"/>
              </w:rPr>
              <m:t>P</m:t>
            </m:r>
            <m:ctrlPr>
              <w:rPr>
                <w:rFonts w:ascii="Cambria Math" w:hAnsi="Cambria Math" w:eastAsia="仿宋_GB2312"/>
              </w:rPr>
            </m:ctrlPr>
          </m:e>
          <m:sub>
            <m:r>
              <w:rPr>
                <w:rFonts w:ascii="Cambria Math" w:hAnsi="Cambria Math" w:eastAsia="仿宋_GB2312"/>
              </w:rPr>
              <m:t>总VOSs</m:t>
            </m:r>
            <m:ctrlPr>
              <w:rPr>
                <w:rFonts w:ascii="Cambria Math" w:hAnsi="Cambria Math" w:eastAsia="仿宋_GB2312"/>
              </w:rPr>
            </m:ctrlPr>
          </m:sub>
        </m:sSub>
        <m:r>
          <w:rPr>
            <w:rFonts w:ascii="Cambria Math" w:hAnsi="Cambria Math" w:eastAsia="仿宋_GB2312"/>
          </w:rPr>
          <m:t>=</m:t>
        </m:r>
        <m:f>
          <m:fPr>
            <m:ctrlPr>
              <w:rPr>
                <w:rFonts w:ascii="Cambria Math" w:hAnsi="Cambria Math" w:eastAsia="仿宋_GB2312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eastAsia="仿宋_GB2312"/>
                    <w:i/>
                  </w:rPr>
                </m:ctrlPr>
              </m:naryPr>
              <m:sub>
                <m:ctrlPr>
                  <w:rPr>
                    <w:rFonts w:ascii="Cambria Math" w:hAnsi="Cambria Math" w:eastAsia="仿宋_GB2312"/>
                    <w:i/>
                  </w:rPr>
                </m:ctrlPr>
              </m:sub>
              <m:sup>
                <m:ctrlPr>
                  <w:rPr>
                    <w:rFonts w:ascii="Cambria Math" w:hAnsi="Cambria Math" w:eastAsia="仿宋_GB2312"/>
                    <w:i/>
                  </w:rPr>
                </m:ctrlPr>
              </m:sup>
              <m:e>
                <m:d>
                  <m:dP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eastAsia="仿宋_GB2312"/>
                          </w:rPr>
                          <m:t>C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eastAsia="仿宋_GB2312"/>
                          </w:rPr>
                          <m:t>前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 w:eastAsia="仿宋_GB231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eastAsia="仿宋_GB2312"/>
                          </w:rPr>
                          <m:t>Q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eastAsia="仿宋_GB2312"/>
                          </w:rPr>
                          <m:t>前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e>
                </m:d>
                <m:r>
                  <w:rPr>
                    <w:rFonts w:ascii="Cambria Math" w:hAnsi="Cambria Math" w:eastAsia="仿宋_GB231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naryPr>
                  <m:sub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ub>
                  <m:sup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up>
                  <m:e>
                    <m:d>
                      <m:dP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eastAsia="仿宋_GB2312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eastAsia="仿宋_GB2312"/>
                              </w:rPr>
                              <m:t>C</m:t>
                            </m:r>
                            <m:ctrlPr>
                              <w:rPr>
                                <w:rFonts w:ascii="Cambria Math" w:hAnsi="Cambria Math" w:eastAsia="仿宋_GB2312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eastAsia="仿宋_GB2312"/>
                              </w:rPr>
                              <m:t>后</m:t>
                            </m:r>
                            <m:ctrlPr>
                              <w:rPr>
                                <w:rFonts w:ascii="Cambria Math" w:hAnsi="Cambria Math" w:eastAsia="仿宋_GB2312"/>
                                <w:i/>
                              </w:rPr>
                            </m:ctrlPr>
                          </m:sub>
                        </m:sSub>
                        <m:r>
                          <w:rPr>
                            <w:rFonts w:ascii="Cambria Math" w:hAnsi="Cambria Math" w:eastAsia="仿宋_GB231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eastAsia="仿宋_GB2312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eastAsia="仿宋_GB2312"/>
                              </w:rPr>
                              <m:t>Q</m:t>
                            </m:r>
                            <m:ctrlPr>
                              <w:rPr>
                                <w:rFonts w:ascii="Cambria Math" w:hAnsi="Cambria Math" w:eastAsia="仿宋_GB2312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eastAsia="仿宋_GB2312"/>
                              </w:rPr>
                              <m:t>后</m:t>
                            </m:r>
                            <m:ctrlPr>
                              <w:rPr>
                                <w:rFonts w:ascii="Cambria Math" w:hAnsi="Cambria Math" w:eastAsia="仿宋_GB2312"/>
                                <w:i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e>
                    </m:d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e>
                </m:nary>
                <m:ctrlPr>
                  <w:rPr>
                    <w:rFonts w:ascii="Cambria Math" w:hAnsi="Cambria Math" w:eastAsia="仿宋_GB2312"/>
                    <w:i/>
                  </w:rPr>
                </m:ctrlPr>
              </m:e>
            </m:nary>
            <m:ctrlPr>
              <w:rPr>
                <w:rFonts w:ascii="Cambria Math" w:hAnsi="Cambria Math" w:eastAsia="仿宋_GB2312"/>
                <w:i/>
              </w:rPr>
            </m:ctrlP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eastAsia="仿宋_GB2312"/>
                    <w:i/>
                  </w:rPr>
                </m:ctrlPr>
              </m:naryPr>
              <m:sub>
                <m:ctrlPr>
                  <w:rPr>
                    <w:rFonts w:ascii="Cambria Math" w:hAnsi="Cambria Math" w:eastAsia="仿宋_GB2312"/>
                    <w:i/>
                  </w:rPr>
                </m:ctrlPr>
              </m:sub>
              <m:sup>
                <m:ctrlPr>
                  <w:rPr>
                    <w:rFonts w:ascii="Cambria Math" w:hAnsi="Cambria Math" w:eastAsia="仿宋_GB2312"/>
                    <w:i/>
                  </w:rPr>
                </m:ctrlPr>
              </m:sup>
              <m:e>
                <m:d>
                  <m:dP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eastAsia="仿宋_GB2312"/>
                          </w:rPr>
                          <m:t>C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eastAsia="仿宋_GB2312"/>
                          </w:rPr>
                          <m:t>前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Cambria Math" w:eastAsia="仿宋_GB231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eastAsia="仿宋_GB2312"/>
                          </w:rPr>
                          <m:t>Q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eastAsia="仿宋_GB2312"/>
                          </w:rPr>
                          <m:t>前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e>
                </m:d>
                <m:ctrlPr>
                  <w:rPr>
                    <w:rFonts w:ascii="Cambria Math" w:hAnsi="Cambria Math" w:eastAsia="仿宋_GB2312"/>
                    <w:i/>
                  </w:rPr>
                </m:ctrlPr>
              </m:e>
            </m:nary>
            <m:ctrlPr>
              <w:rPr>
                <w:rFonts w:ascii="Cambria Math" w:hAnsi="Cambria Math" w:eastAsia="仿宋_GB2312"/>
                <w:i/>
              </w:rPr>
            </m:ctrlPr>
          </m:den>
        </m:f>
      </m:oMath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式中：P—废气处理设施的总VOCs去除率，%；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C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—进入废气处理设施前的污染物浓度，mg/m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perscript"/>
        </w:rPr>
        <w:t>3；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Q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—进入废气处理设施前的排气量，m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/h；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C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—经废气处理设施处理后排入环境空气的污染物浓度，mg/m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Q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—经废气处理设施处理后排入环境空气的排气量，m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/h。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方法2：若废气处理前、后采样口所对应的排放筒管径大小保持一致，可采用“同一时刻废气处理设施的废气处理前、后的总VOCs浓度差值与废气处理前总VOCs浓度值的百分比值”的方式计算总VOCs去除率：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参考方式：</w:t>
      </w:r>
      <m:oMath>
        <m:sSub>
          <m:sSubPr>
            <m:ctrlPr>
              <w:rPr>
                <w:rFonts w:ascii="Cambria Math" w:hAnsi="Cambria Math" w:eastAsia="仿宋_GB231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仿宋_GB2312"/>
              </w:rPr>
              <m:t>P</m:t>
            </m:r>
            <m:ctrlPr>
              <w:rPr>
                <w:rFonts w:ascii="Cambria Math" w:hAnsi="Cambria Math" w:eastAsia="仿宋_GB2312"/>
              </w:rPr>
            </m:ctrlPr>
          </m:e>
          <m:sub>
            <m:r>
              <w:rPr>
                <w:rFonts w:ascii="Cambria Math" w:hAnsi="Cambria Math" w:eastAsia="仿宋_GB2312"/>
              </w:rPr>
              <m:t>总VOSs</m:t>
            </m:r>
            <m:ctrlPr>
              <w:rPr>
                <w:rFonts w:ascii="Cambria Math" w:hAnsi="Cambria Math" w:eastAsia="仿宋_GB2312"/>
              </w:rPr>
            </m:ctrlPr>
          </m:sub>
        </m:sSub>
        <m:r>
          <w:rPr>
            <w:rFonts w:ascii="Cambria Math" w:hAnsi="Cambria Math" w:eastAsia="仿宋_GB2312"/>
          </w:rPr>
          <m:t>=</m:t>
        </m:r>
        <m:f>
          <m:fPr>
            <m:ctrlPr>
              <w:rPr>
                <w:rFonts w:ascii="Cambria Math" w:hAnsi="Cambria Math" w:eastAsia="仿宋_GB2312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eastAsia="仿宋_GB2312"/>
                    <w:i/>
                  </w:rPr>
                </m:ctrlPr>
              </m:naryPr>
              <m:sub>
                <m:ctrlPr>
                  <w:rPr>
                    <w:rFonts w:ascii="Cambria Math" w:hAnsi="Cambria Math" w:eastAsia="仿宋_GB2312"/>
                    <w:i/>
                  </w:rPr>
                </m:ctrlPr>
              </m:sub>
              <m:sup>
                <m:ctrlPr>
                  <w:rPr>
                    <w:rFonts w:ascii="Cambria Math" w:hAnsi="Cambria Math" w:eastAsia="仿宋_GB2312"/>
                    <w:i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eastAsia="仿宋_GB2312"/>
                      </w:rPr>
                      <m:t>C</m:t>
                    </m: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eastAsia="仿宋_GB2312"/>
                      </w:rPr>
                      <m:t>前</m:t>
                    </m: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ub>
                </m:sSub>
                <m:r>
                  <w:rPr>
                    <w:rFonts w:ascii="Cambria Math" w:hAnsi="Cambria Math" w:eastAsia="仿宋_GB2312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naryPr>
                  <m:sub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ub>
                  <m:sup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eastAsia="仿宋_GB2312"/>
                          </w:rPr>
                          <m:t>C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eastAsia="仿宋_GB2312"/>
                          </w:rPr>
                          <m:t>后</m:t>
                        </m:r>
                        <m:ctrlPr>
                          <w:rPr>
                            <w:rFonts w:ascii="Cambria Math" w:hAnsi="Cambria Math" w:eastAsia="仿宋_GB2312"/>
                            <w:i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e>
                </m:nary>
                <m:ctrlPr>
                  <w:rPr>
                    <w:rFonts w:ascii="Cambria Math" w:hAnsi="Cambria Math" w:eastAsia="仿宋_GB2312"/>
                    <w:i/>
                  </w:rPr>
                </m:ctrlPr>
              </m:e>
            </m:nary>
            <m:ctrlPr>
              <w:rPr>
                <w:rFonts w:ascii="Cambria Math" w:hAnsi="Cambria Math" w:eastAsia="仿宋_GB2312"/>
                <w:i/>
              </w:rPr>
            </m:ctrlP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eastAsia="仿宋_GB2312"/>
                    <w:i/>
                  </w:rPr>
                </m:ctrlPr>
              </m:naryPr>
              <m:sub>
                <m:ctrlPr>
                  <w:rPr>
                    <w:rFonts w:ascii="Cambria Math" w:hAnsi="Cambria Math" w:eastAsia="仿宋_GB2312"/>
                    <w:i/>
                  </w:rPr>
                </m:ctrlPr>
              </m:sub>
              <m:sup>
                <m:ctrlPr>
                  <w:rPr>
                    <w:rFonts w:ascii="Cambria Math" w:hAnsi="Cambria Math" w:eastAsia="仿宋_GB2312"/>
                    <w:i/>
                  </w:rPr>
                </m:ctrlPr>
              </m:sup>
              <m:e>
                <m:sSub>
                  <m:sSubP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eastAsia="仿宋_GB2312"/>
                      </w:rPr>
                      <m:t>C</m:t>
                    </m: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eastAsia="仿宋_GB2312"/>
                      </w:rPr>
                      <m:t>前</m:t>
                    </m:r>
                    <m:ctrlPr>
                      <w:rPr>
                        <w:rFonts w:ascii="Cambria Math" w:hAnsi="Cambria Math" w:eastAsia="仿宋_GB2312"/>
                        <w:i/>
                      </w:rPr>
                    </m:ctrlPr>
                  </m:sub>
                </m:sSub>
                <m:ctrlPr>
                  <w:rPr>
                    <w:rFonts w:ascii="Cambria Math" w:hAnsi="Cambria Math" w:eastAsia="仿宋_GB2312"/>
                    <w:i/>
                  </w:rPr>
                </m:ctrlPr>
              </m:e>
            </m:nary>
            <m:ctrlPr>
              <w:rPr>
                <w:rFonts w:ascii="Cambria Math" w:hAnsi="Cambria Math" w:eastAsia="仿宋_GB2312"/>
                <w:i/>
              </w:rPr>
            </m:ctrlPr>
          </m:den>
        </m:f>
      </m:oMath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式中：P—废气处理设施的总VOCs去除率，%；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C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—进入废气处理设施前的污染物浓度，mg/m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9"/>
        <w:spacing w:line="59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C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—经废气处理设施处理后排入环境空气的污染物浓度，mg/m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hint="eastAsia"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jc w:val="center"/>
        <w:rPr>
          <w:rFonts w:eastAsia="方正小标宋_GBK"/>
        </w:rPr>
      </w:pPr>
    </w:p>
    <w:p>
      <w:pPr>
        <w:rPr>
          <w:rFonts w:eastAsia="仿宋_GB2312"/>
        </w:rPr>
      </w:pPr>
    </w:p>
    <w:p/>
    <w:sectPr>
      <w:footerReference r:id="rId3" w:type="default"/>
      <w:footerReference r:id="rId4" w:type="even"/>
      <w:pgSz w:w="11906" w:h="16838"/>
      <w:pgMar w:top="2098" w:right="1247" w:bottom="1758" w:left="1588" w:header="1134" w:footer="1503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eastAsia="仿宋_GB2312"/>
        <w:sz w:val="28"/>
      </w:rPr>
    </w:pPr>
    <w:r>
      <w:rPr>
        <w:rStyle w:val="6"/>
        <w:sz w:val="28"/>
      </w:rPr>
      <w:t>―</w:t>
    </w:r>
    <w:r>
      <w:rPr>
        <w:rStyle w:val="6"/>
        <w:rFonts w:eastAsia="仿宋_GB2312"/>
        <w:sz w:val="28"/>
      </w:rPr>
      <w:t xml:space="preserve"> </w:t>
    </w:r>
    <w:r>
      <w:rPr>
        <w:rFonts w:eastAsia="仿宋_GB2312"/>
        <w:sz w:val="28"/>
      </w:rPr>
      <w:fldChar w:fldCharType="begin"/>
    </w:r>
    <w:r>
      <w:rPr>
        <w:rStyle w:val="6"/>
        <w:rFonts w:eastAsia="仿宋_GB2312"/>
        <w:sz w:val="28"/>
      </w:rPr>
      <w:instrText xml:space="preserve">PAGE  </w:instrText>
    </w:r>
    <w:r>
      <w:rPr>
        <w:rFonts w:eastAsia="仿宋_GB2312"/>
        <w:sz w:val="28"/>
      </w:rPr>
      <w:fldChar w:fldCharType="separate"/>
    </w:r>
    <w:r>
      <w:rPr>
        <w:rStyle w:val="6"/>
        <w:rFonts w:eastAsia="仿宋_GB2312"/>
        <w:sz w:val="28"/>
      </w:rPr>
      <w:t>3</w:t>
    </w:r>
    <w:r>
      <w:rPr>
        <w:rFonts w:eastAsia="仿宋_GB2312"/>
        <w:sz w:val="28"/>
      </w:rPr>
      <w:fldChar w:fldCharType="end"/>
    </w:r>
    <w:r>
      <w:rPr>
        <w:rStyle w:val="6"/>
        <w:rFonts w:eastAsia="仿宋_GB2312"/>
        <w:sz w:val="28"/>
      </w:rPr>
      <w:t xml:space="preserve"> </w:t>
    </w:r>
    <w:r>
      <w:rPr>
        <w:rStyle w:val="6"/>
        <w:sz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3F"/>
    <w:rsid w:val="009D403F"/>
    <w:rsid w:val="00ED7A20"/>
    <w:rsid w:val="274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"/>
    <w:basedOn w:val="1"/>
    <w:uiPriority w:val="0"/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674</Words>
  <Characters>3848</Characters>
  <Lines>32</Lines>
  <Paragraphs>9</Paragraphs>
  <TotalTime>1</TotalTime>
  <ScaleCrop>false</ScaleCrop>
  <LinksUpToDate>false</LinksUpToDate>
  <CharactersWithSpaces>4513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2020-05-19T03:49:00Z</dcterms:created>
  <dc:creator>쑰̸㋠</dc:creator>
  <cp:lastModifiedBy>陈璐</cp:lastModifiedBy>
  <dcterms:modified xsi:type="dcterms:W3CDTF">2020-05-19T03:58:41Z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